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89D6" w14:textId="6608FCBC" w:rsidR="00AC5479" w:rsidRDefault="00AC5479" w:rsidP="00AC5479">
      <w:pPr>
        <w:spacing w:after="0" w:line="240" w:lineRule="auto"/>
        <w:jc w:val="center"/>
        <w:rPr>
          <w:sz w:val="36"/>
          <w:szCs w:val="36"/>
        </w:rPr>
      </w:pPr>
      <w:bookmarkStart w:id="0" w:name="_GoBack"/>
      <w:bookmarkEnd w:id="0"/>
      <w:r w:rsidRPr="006441AA">
        <w:rPr>
          <w:noProof/>
        </w:rPr>
        <w:drawing>
          <wp:inline distT="0" distB="0" distL="0" distR="0" wp14:anchorId="0BACCE43" wp14:editId="7F7187C0">
            <wp:extent cx="3363595" cy="1266825"/>
            <wp:effectExtent l="0" t="0" r="8255" b="9525"/>
            <wp:docPr id="1" name="Picture 1" descr="AMTR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TRA 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3595" cy="1266825"/>
                    </a:xfrm>
                    <a:prstGeom prst="rect">
                      <a:avLst/>
                    </a:prstGeom>
                    <a:noFill/>
                    <a:ln>
                      <a:noFill/>
                    </a:ln>
                  </pic:spPr>
                </pic:pic>
              </a:graphicData>
            </a:graphic>
          </wp:inline>
        </w:drawing>
      </w:r>
    </w:p>
    <w:p w14:paraId="43C950A6" w14:textId="77777777" w:rsidR="00AC5479" w:rsidRDefault="00AC5479" w:rsidP="0083294D">
      <w:pPr>
        <w:spacing w:after="0" w:line="240" w:lineRule="auto"/>
        <w:jc w:val="center"/>
        <w:rPr>
          <w:sz w:val="36"/>
          <w:szCs w:val="36"/>
        </w:rPr>
      </w:pPr>
    </w:p>
    <w:p w14:paraId="316B9383" w14:textId="45BC3CF0" w:rsidR="002F0DE0" w:rsidRDefault="002F0DE0" w:rsidP="002F0DE0">
      <w:pPr>
        <w:pStyle w:val="IntroHead1"/>
        <w:rPr>
          <w:sz w:val="52"/>
        </w:rPr>
      </w:pPr>
      <w:r w:rsidRPr="002F0DE0">
        <w:rPr>
          <w:sz w:val="52"/>
        </w:rPr>
        <w:t>Student SQP Complaints Procedure</w:t>
      </w:r>
    </w:p>
    <w:p w14:paraId="0FC603F0" w14:textId="622946C5" w:rsidR="002F0DE0" w:rsidRPr="002F0DE0" w:rsidRDefault="002F0DE0" w:rsidP="002F0DE0">
      <w:pPr>
        <w:spacing w:after="0" w:line="240" w:lineRule="auto"/>
        <w:jc w:val="right"/>
        <w:rPr>
          <w:rFonts w:ascii="Segoe UI Light" w:hAnsi="Segoe UI Light"/>
          <w:b/>
          <w:color w:val="808080" w:themeColor="background1" w:themeShade="80"/>
          <w:sz w:val="32"/>
          <w:szCs w:val="32"/>
        </w:rPr>
      </w:pPr>
      <w:r>
        <w:rPr>
          <w:rFonts w:ascii="Segoe UI Light" w:hAnsi="Segoe UI Light"/>
          <w:b/>
          <w:color w:val="808080" w:themeColor="background1" w:themeShade="80"/>
          <w:sz w:val="32"/>
          <w:szCs w:val="32"/>
        </w:rPr>
        <w:t>version 1</w:t>
      </w:r>
    </w:p>
    <w:p w14:paraId="3A91C21D" w14:textId="0DB006E8" w:rsidR="002F0DE0" w:rsidRPr="002F0DE0" w:rsidRDefault="002F0DE0" w:rsidP="002F0DE0">
      <w:pPr>
        <w:spacing w:after="0" w:line="240" w:lineRule="auto"/>
        <w:jc w:val="right"/>
        <w:rPr>
          <w:rFonts w:ascii="Segoe UI Light" w:hAnsi="Segoe UI Light"/>
          <w:b/>
          <w:color w:val="808080" w:themeColor="background1" w:themeShade="80"/>
          <w:sz w:val="32"/>
          <w:szCs w:val="32"/>
        </w:rPr>
      </w:pPr>
      <w:r>
        <w:rPr>
          <w:rFonts w:ascii="Segoe UI Light" w:hAnsi="Segoe UI Light"/>
          <w:b/>
          <w:color w:val="808080" w:themeColor="background1" w:themeShade="80"/>
          <w:sz w:val="32"/>
          <w:szCs w:val="32"/>
        </w:rPr>
        <w:t>9</w:t>
      </w:r>
      <w:r w:rsidRPr="002F0DE0">
        <w:rPr>
          <w:rFonts w:ascii="Segoe UI Light" w:hAnsi="Segoe UI Light"/>
          <w:b/>
          <w:color w:val="808080" w:themeColor="background1" w:themeShade="80"/>
          <w:sz w:val="32"/>
          <w:szCs w:val="32"/>
        </w:rPr>
        <w:t xml:space="preserve"> October 2019</w:t>
      </w:r>
    </w:p>
    <w:p w14:paraId="2B8A7D13" w14:textId="77777777" w:rsidR="00E31125" w:rsidRPr="00C5124F" w:rsidRDefault="00E31125" w:rsidP="003221A4">
      <w:pPr>
        <w:spacing w:after="0" w:line="240" w:lineRule="auto"/>
        <w:jc w:val="center"/>
        <w:rPr>
          <w:sz w:val="36"/>
          <w:szCs w:val="36"/>
        </w:rPr>
      </w:pPr>
    </w:p>
    <w:p w14:paraId="3505ACE0" w14:textId="77777777" w:rsidR="002F0DE0" w:rsidRDefault="002F0DE0" w:rsidP="00804E3E">
      <w:pPr>
        <w:spacing w:after="0" w:line="240" w:lineRule="auto"/>
        <w:rPr>
          <w:rFonts w:eastAsia="Times New Roman" w:cs="Arial"/>
          <w:iCs/>
          <w:lang w:eastAsia="en-GB"/>
        </w:rPr>
      </w:pPr>
    </w:p>
    <w:p w14:paraId="35C5E8DD" w14:textId="77777777" w:rsidR="002F0DE0" w:rsidRDefault="002F0DE0" w:rsidP="00804E3E">
      <w:pPr>
        <w:spacing w:after="0" w:line="240" w:lineRule="auto"/>
        <w:rPr>
          <w:rFonts w:eastAsia="Times New Roman" w:cs="Arial"/>
          <w:iCs/>
          <w:lang w:eastAsia="en-GB"/>
        </w:rPr>
      </w:pPr>
    </w:p>
    <w:p w14:paraId="2A71D8BF" w14:textId="6C94D846" w:rsidR="002C156D" w:rsidRDefault="002C156D" w:rsidP="002C156D">
      <w:pPr>
        <w:pStyle w:val="Heading1"/>
        <w:rPr>
          <w:rFonts w:eastAsia="Times New Roman"/>
          <w:lang w:eastAsia="en-GB"/>
        </w:rPr>
      </w:pPr>
      <w:bookmarkStart w:id="1" w:name="_Toc21525820"/>
      <w:r>
        <w:rPr>
          <w:rFonts w:eastAsia="Times New Roman"/>
          <w:lang w:eastAsia="en-GB"/>
        </w:rPr>
        <w:t>Introduction</w:t>
      </w:r>
      <w:bookmarkEnd w:id="1"/>
    </w:p>
    <w:p w14:paraId="7AED0B41" w14:textId="77777777" w:rsidR="004B5A74" w:rsidRDefault="00804E3E" w:rsidP="00804E3E">
      <w:pPr>
        <w:spacing w:after="0" w:line="240" w:lineRule="auto"/>
        <w:rPr>
          <w:rFonts w:eastAsia="Times New Roman" w:cs="Arial"/>
          <w:iCs/>
          <w:lang w:eastAsia="en-GB"/>
        </w:rPr>
      </w:pPr>
      <w:r>
        <w:rPr>
          <w:rFonts w:eastAsia="Times New Roman" w:cs="Arial"/>
          <w:iCs/>
          <w:lang w:eastAsia="en-GB"/>
        </w:rPr>
        <w:t>T</w:t>
      </w:r>
      <w:r w:rsidRPr="00C5124F">
        <w:rPr>
          <w:rFonts w:eastAsia="Times New Roman" w:cs="Arial"/>
          <w:iCs/>
          <w:lang w:eastAsia="en-GB"/>
        </w:rPr>
        <w:t xml:space="preserve">his complaints procedure reflects </w:t>
      </w:r>
      <w:r w:rsidR="00B07771">
        <w:rPr>
          <w:rFonts w:eastAsia="Times New Roman" w:cs="Arial"/>
          <w:iCs/>
          <w:lang w:eastAsia="en-GB"/>
        </w:rPr>
        <w:t>AMTRA</w:t>
      </w:r>
      <w:r>
        <w:rPr>
          <w:rFonts w:eastAsia="Times New Roman" w:cs="Arial"/>
          <w:iCs/>
          <w:lang w:eastAsia="en-GB"/>
        </w:rPr>
        <w:t xml:space="preserve">’s </w:t>
      </w:r>
      <w:r w:rsidRPr="00C5124F">
        <w:rPr>
          <w:rFonts w:eastAsia="Times New Roman" w:cs="Arial"/>
          <w:iCs/>
          <w:lang w:eastAsia="en-GB"/>
        </w:rPr>
        <w:t xml:space="preserve">commitment to valuing complaints.  Our aim is to resolve issues of dissatisfaction as close to the initial point of contact as possible and to conduct thorough and fair investigations of complaints so that, where appropriate, we can make evidence-based decisions on the facts of each individual case. </w:t>
      </w:r>
    </w:p>
    <w:p w14:paraId="72D5B625" w14:textId="77777777" w:rsidR="004B5A74" w:rsidRDefault="004B5A74" w:rsidP="00804E3E">
      <w:pPr>
        <w:spacing w:after="0" w:line="240" w:lineRule="auto"/>
        <w:rPr>
          <w:rFonts w:eastAsia="Times New Roman" w:cs="Arial"/>
          <w:iCs/>
          <w:lang w:eastAsia="en-GB"/>
        </w:rPr>
      </w:pPr>
    </w:p>
    <w:p w14:paraId="0BB99B43" w14:textId="77777777" w:rsidR="0083294D" w:rsidRDefault="00804E3E" w:rsidP="00804E3E">
      <w:pPr>
        <w:spacing w:after="0" w:line="240" w:lineRule="auto"/>
        <w:rPr>
          <w:rFonts w:eastAsia="Times New Roman" w:cs="Arial"/>
          <w:szCs w:val="24"/>
          <w:lang w:eastAsia="en-GB"/>
        </w:rPr>
      </w:pPr>
      <w:r w:rsidRPr="00C5124F">
        <w:rPr>
          <w:rFonts w:eastAsia="Times New Roman" w:cs="Arial"/>
          <w:iCs/>
          <w:lang w:eastAsia="en-GB"/>
        </w:rPr>
        <w:t xml:space="preserve">The procedure takes account of the </w:t>
      </w:r>
      <w:r w:rsidRPr="00C5124F">
        <w:rPr>
          <w:rFonts w:eastAsia="Times New Roman" w:cs="Arial"/>
          <w:i/>
          <w:iCs/>
          <w:lang w:eastAsia="en-GB"/>
        </w:rPr>
        <w:t xml:space="preserve">Good practice for handling student complaints and appeals </w:t>
      </w:r>
      <w:r w:rsidRPr="00C5124F">
        <w:rPr>
          <w:rFonts w:eastAsia="Times New Roman" w:cs="Arial"/>
          <w:iCs/>
          <w:lang w:eastAsia="en-GB"/>
        </w:rPr>
        <w:t xml:space="preserve">issued by the Office of the Independent Adjudicator for Higher Education (December 2016).  </w:t>
      </w:r>
      <w:r w:rsidRPr="00C5124F">
        <w:rPr>
          <w:rFonts w:eastAsia="Times New Roman" w:cs="Arial"/>
          <w:szCs w:val="24"/>
          <w:lang w:eastAsia="en-GB"/>
        </w:rPr>
        <w:t>Th</w:t>
      </w:r>
      <w:r w:rsidR="0083294D">
        <w:rPr>
          <w:rFonts w:eastAsia="Times New Roman" w:cs="Arial"/>
          <w:szCs w:val="24"/>
          <w:lang w:eastAsia="en-GB"/>
        </w:rPr>
        <w:t>is</w:t>
      </w:r>
      <w:r w:rsidRPr="00C5124F">
        <w:rPr>
          <w:rFonts w:eastAsia="Times New Roman" w:cs="Arial"/>
          <w:szCs w:val="24"/>
          <w:lang w:eastAsia="en-GB"/>
        </w:rPr>
        <w:t xml:space="preserve"> Complaints Procedure will be signposted from </w:t>
      </w:r>
      <w:r w:rsidR="008D7C4E" w:rsidRPr="00CA4CA1">
        <w:rPr>
          <w:rFonts w:eastAsia="Times New Roman" w:cs="Arial"/>
          <w:szCs w:val="24"/>
          <w:lang w:eastAsia="en-GB"/>
        </w:rPr>
        <w:t xml:space="preserve">the appropriate pages on the </w:t>
      </w:r>
      <w:r w:rsidR="00B07771">
        <w:rPr>
          <w:rFonts w:eastAsia="Times New Roman" w:cs="Arial"/>
          <w:szCs w:val="24"/>
          <w:lang w:eastAsia="en-GB"/>
        </w:rPr>
        <w:t>AMTRA</w:t>
      </w:r>
      <w:r w:rsidR="008D7C4E" w:rsidRPr="00CA4CA1">
        <w:rPr>
          <w:rFonts w:eastAsia="Times New Roman" w:cs="Arial"/>
          <w:szCs w:val="24"/>
          <w:lang w:eastAsia="en-GB"/>
        </w:rPr>
        <w:t xml:space="preserve"> website,</w:t>
      </w:r>
      <w:r w:rsidRPr="00C5124F">
        <w:rPr>
          <w:rFonts w:eastAsia="Times New Roman" w:cs="Arial"/>
          <w:szCs w:val="24"/>
          <w:lang w:eastAsia="en-GB"/>
        </w:rPr>
        <w:t xml:space="preserve"> to ensure that student</w:t>
      </w:r>
      <w:r w:rsidR="0083294D">
        <w:rPr>
          <w:rFonts w:eastAsia="Times New Roman" w:cs="Arial"/>
          <w:szCs w:val="24"/>
          <w:lang w:eastAsia="en-GB"/>
        </w:rPr>
        <w:t xml:space="preserve"> SQPs</w:t>
      </w:r>
      <w:r w:rsidRPr="00C5124F">
        <w:rPr>
          <w:rFonts w:eastAsia="Times New Roman" w:cs="Arial"/>
          <w:szCs w:val="24"/>
          <w:lang w:eastAsia="en-GB"/>
        </w:rPr>
        <w:t xml:space="preserve"> are aware of their rights. </w:t>
      </w:r>
    </w:p>
    <w:p w14:paraId="6A860984" w14:textId="77777777" w:rsidR="0083294D" w:rsidRDefault="0083294D" w:rsidP="00804E3E">
      <w:pPr>
        <w:spacing w:after="0" w:line="240" w:lineRule="auto"/>
        <w:rPr>
          <w:rFonts w:eastAsia="Times New Roman" w:cs="Arial"/>
          <w:szCs w:val="24"/>
          <w:lang w:eastAsia="en-GB"/>
        </w:rPr>
      </w:pPr>
    </w:p>
    <w:p w14:paraId="3328054A" w14:textId="77777777" w:rsidR="0083294D" w:rsidRDefault="0083294D" w:rsidP="00804E3E">
      <w:pPr>
        <w:spacing w:after="0" w:line="240" w:lineRule="auto"/>
        <w:rPr>
          <w:rFonts w:eastAsia="Times New Roman" w:cs="Arial"/>
          <w:iCs/>
          <w:lang w:eastAsia="en-GB"/>
        </w:rPr>
      </w:pPr>
      <w:r>
        <w:rPr>
          <w:rFonts w:eastAsia="Times New Roman" w:cs="Arial"/>
          <w:iCs/>
          <w:lang w:eastAsia="en-GB"/>
        </w:rPr>
        <w:t>Th</w:t>
      </w:r>
      <w:r w:rsidR="00804E3E" w:rsidRPr="00C5124F">
        <w:rPr>
          <w:rFonts w:eastAsia="Times New Roman" w:cs="Arial"/>
          <w:iCs/>
          <w:lang w:eastAsia="en-GB"/>
        </w:rPr>
        <w:t xml:space="preserve">is procedure </w:t>
      </w:r>
      <w:r>
        <w:rPr>
          <w:rFonts w:eastAsia="Times New Roman" w:cs="Arial"/>
          <w:iCs/>
          <w:lang w:eastAsia="en-GB"/>
        </w:rPr>
        <w:t>is limited to complaints about the service provided by AMTRA and its partners experienced by student SQPs. Other complaints</w:t>
      </w:r>
      <w:r w:rsidR="00EE78C9">
        <w:rPr>
          <w:rFonts w:eastAsia="Times New Roman" w:cs="Arial"/>
          <w:iCs/>
          <w:lang w:eastAsia="en-GB"/>
        </w:rPr>
        <w:t xml:space="preserve"> about AMTRA may be made in writing to the AMTRA Secretary General: check the AMTRA website to see if specific guidance is available to cover other circumstances.</w:t>
      </w:r>
    </w:p>
    <w:p w14:paraId="215FB6C9" w14:textId="77777777" w:rsidR="00EE78C9" w:rsidRDefault="00EE78C9" w:rsidP="00804E3E">
      <w:pPr>
        <w:spacing w:after="0" w:line="240" w:lineRule="auto"/>
        <w:rPr>
          <w:rFonts w:eastAsia="Times New Roman" w:cs="Arial"/>
          <w:iCs/>
          <w:lang w:eastAsia="en-GB"/>
        </w:rPr>
      </w:pPr>
    </w:p>
    <w:p w14:paraId="6FF3FAC2" w14:textId="77777777" w:rsidR="00EE78C9" w:rsidRDefault="00EE78C9" w:rsidP="00804E3E">
      <w:pPr>
        <w:spacing w:after="0" w:line="240" w:lineRule="auto"/>
        <w:rPr>
          <w:rFonts w:eastAsia="Times New Roman" w:cs="Arial"/>
          <w:iCs/>
          <w:lang w:eastAsia="en-GB"/>
        </w:rPr>
      </w:pPr>
      <w:r>
        <w:rPr>
          <w:rFonts w:eastAsia="Times New Roman" w:cs="Arial"/>
          <w:iCs/>
          <w:lang w:eastAsia="en-GB"/>
        </w:rPr>
        <w:t>Complaints about other organisations, including Harper Adams University and organisations providing SQP training</w:t>
      </w:r>
      <w:r w:rsidR="0036430B">
        <w:rPr>
          <w:rFonts w:eastAsia="Times New Roman" w:cs="Arial"/>
          <w:iCs/>
          <w:lang w:eastAsia="en-GB"/>
        </w:rPr>
        <w:t xml:space="preserve"> which is additional to that provided by the contract that AMTRA has with student SQPs (access to learning resources and assessment arrangements)</w:t>
      </w:r>
      <w:r>
        <w:rPr>
          <w:rFonts w:eastAsia="Times New Roman" w:cs="Arial"/>
          <w:iCs/>
          <w:lang w:eastAsia="en-GB"/>
        </w:rPr>
        <w:t>, should be made directly to the organisation concerned.</w:t>
      </w:r>
    </w:p>
    <w:p w14:paraId="7DE7D816" w14:textId="77777777" w:rsidR="0083294D" w:rsidRDefault="0083294D" w:rsidP="00804E3E">
      <w:pPr>
        <w:spacing w:after="0" w:line="240" w:lineRule="auto"/>
        <w:rPr>
          <w:rFonts w:eastAsia="Times New Roman" w:cs="Arial"/>
          <w:iCs/>
          <w:lang w:eastAsia="en-GB"/>
        </w:rPr>
      </w:pPr>
    </w:p>
    <w:p w14:paraId="3900CBA7" w14:textId="77777777" w:rsidR="002F0DE0" w:rsidRDefault="002F0DE0">
      <w:pPr>
        <w:jc w:val="left"/>
        <w:rPr>
          <w:u w:val="single"/>
        </w:rPr>
      </w:pPr>
      <w:r>
        <w:rPr>
          <w:u w:val="single"/>
        </w:rPr>
        <w:br w:type="page"/>
      </w:r>
    </w:p>
    <w:p w14:paraId="4259CEAF" w14:textId="048337D0" w:rsidR="008F7D04" w:rsidRPr="00577D5F" w:rsidRDefault="002063F8" w:rsidP="002063F8">
      <w:pPr>
        <w:spacing w:after="0" w:line="240" w:lineRule="auto"/>
        <w:rPr>
          <w:u w:val="single"/>
        </w:rPr>
      </w:pPr>
      <w:r w:rsidRPr="00577D5F">
        <w:rPr>
          <w:u w:val="single"/>
        </w:rPr>
        <w:t>Contents</w:t>
      </w:r>
    </w:p>
    <w:p w14:paraId="0A5AF1CF" w14:textId="77777777" w:rsidR="00577D5F" w:rsidRDefault="00577D5F" w:rsidP="002063F8">
      <w:pPr>
        <w:spacing w:after="0" w:line="240" w:lineRule="auto"/>
      </w:pPr>
    </w:p>
    <w:p w14:paraId="71200B82" w14:textId="77777777" w:rsidR="002C156D" w:rsidRDefault="00577D5F">
      <w:pPr>
        <w:pStyle w:val="TOC1"/>
        <w:tabs>
          <w:tab w:val="right" w:leader="dot" w:pos="9016"/>
        </w:tabs>
        <w:rPr>
          <w:rFonts w:eastAsiaTheme="minorEastAsia"/>
          <w:b w:val="0"/>
          <w:bCs w:val="0"/>
          <w:caps w:val="0"/>
          <w:noProof/>
          <w:sz w:val="22"/>
          <w:szCs w:val="22"/>
          <w:lang w:eastAsia="en-GB"/>
        </w:rPr>
      </w:pPr>
      <w:r w:rsidRPr="00577D5F">
        <w:rPr>
          <w:b w:val="0"/>
        </w:rPr>
        <w:fldChar w:fldCharType="begin"/>
      </w:r>
      <w:r w:rsidRPr="00577D5F">
        <w:rPr>
          <w:b w:val="0"/>
        </w:rPr>
        <w:instrText xml:space="preserve"> TOC \o "1-1" \t "</w:instrText>
      </w:r>
      <w:r w:rsidR="00A74814">
        <w:rPr>
          <w:b w:val="0"/>
        </w:rPr>
        <w:instrText xml:space="preserve">Heading </w:instrText>
      </w:r>
      <w:r w:rsidRPr="00577D5F">
        <w:rPr>
          <w:b w:val="0"/>
        </w:rPr>
        <w:instrText xml:space="preserve">1,1" </w:instrText>
      </w:r>
      <w:r w:rsidRPr="00577D5F">
        <w:rPr>
          <w:b w:val="0"/>
        </w:rPr>
        <w:fldChar w:fldCharType="separate"/>
      </w:r>
      <w:r w:rsidR="002C156D" w:rsidRPr="00184222">
        <w:rPr>
          <w:rFonts w:eastAsia="Times New Roman"/>
          <w:noProof/>
          <w:lang w:eastAsia="en-GB"/>
        </w:rPr>
        <w:t>Introduction</w:t>
      </w:r>
      <w:r w:rsidR="002C156D">
        <w:rPr>
          <w:noProof/>
        </w:rPr>
        <w:tab/>
      </w:r>
      <w:r w:rsidR="002C156D">
        <w:rPr>
          <w:noProof/>
        </w:rPr>
        <w:fldChar w:fldCharType="begin"/>
      </w:r>
      <w:r w:rsidR="002C156D">
        <w:rPr>
          <w:noProof/>
        </w:rPr>
        <w:instrText xml:space="preserve"> PAGEREF _Toc21525820 \h </w:instrText>
      </w:r>
      <w:r w:rsidR="002C156D">
        <w:rPr>
          <w:noProof/>
        </w:rPr>
      </w:r>
      <w:r w:rsidR="002C156D">
        <w:rPr>
          <w:noProof/>
        </w:rPr>
        <w:fldChar w:fldCharType="separate"/>
      </w:r>
      <w:r w:rsidR="002C156D">
        <w:rPr>
          <w:noProof/>
        </w:rPr>
        <w:t>1</w:t>
      </w:r>
      <w:r w:rsidR="002C156D">
        <w:rPr>
          <w:noProof/>
        </w:rPr>
        <w:fldChar w:fldCharType="end"/>
      </w:r>
    </w:p>
    <w:p w14:paraId="756677F4"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Figure 1. Overview of the Complaints Handling Procedure</w:t>
      </w:r>
      <w:r>
        <w:rPr>
          <w:noProof/>
        </w:rPr>
        <w:tab/>
      </w:r>
      <w:r>
        <w:rPr>
          <w:noProof/>
        </w:rPr>
        <w:fldChar w:fldCharType="begin"/>
      </w:r>
      <w:r>
        <w:rPr>
          <w:noProof/>
        </w:rPr>
        <w:instrText xml:space="preserve"> PAGEREF _Toc21525821 \h </w:instrText>
      </w:r>
      <w:r>
        <w:rPr>
          <w:noProof/>
        </w:rPr>
      </w:r>
      <w:r>
        <w:rPr>
          <w:noProof/>
        </w:rPr>
        <w:fldChar w:fldCharType="separate"/>
      </w:r>
      <w:r>
        <w:rPr>
          <w:noProof/>
        </w:rPr>
        <w:t>3</w:t>
      </w:r>
      <w:r>
        <w:rPr>
          <w:noProof/>
        </w:rPr>
        <w:fldChar w:fldCharType="end"/>
      </w:r>
    </w:p>
    <w:p w14:paraId="7714C3E6"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What is a complaint?</w:t>
      </w:r>
      <w:r>
        <w:rPr>
          <w:noProof/>
        </w:rPr>
        <w:tab/>
      </w:r>
      <w:r>
        <w:rPr>
          <w:noProof/>
        </w:rPr>
        <w:fldChar w:fldCharType="begin"/>
      </w:r>
      <w:r>
        <w:rPr>
          <w:noProof/>
        </w:rPr>
        <w:instrText xml:space="preserve"> PAGEREF _Toc21525822 \h </w:instrText>
      </w:r>
      <w:r>
        <w:rPr>
          <w:noProof/>
        </w:rPr>
      </w:r>
      <w:r>
        <w:rPr>
          <w:noProof/>
        </w:rPr>
        <w:fldChar w:fldCharType="separate"/>
      </w:r>
      <w:r>
        <w:rPr>
          <w:noProof/>
        </w:rPr>
        <w:t>4</w:t>
      </w:r>
      <w:r>
        <w:rPr>
          <w:noProof/>
        </w:rPr>
        <w:fldChar w:fldCharType="end"/>
      </w:r>
    </w:p>
    <w:p w14:paraId="72AC3CEC"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Who can make a complaint?</w:t>
      </w:r>
      <w:r>
        <w:rPr>
          <w:noProof/>
        </w:rPr>
        <w:tab/>
      </w:r>
      <w:r>
        <w:rPr>
          <w:noProof/>
        </w:rPr>
        <w:fldChar w:fldCharType="begin"/>
      </w:r>
      <w:r>
        <w:rPr>
          <w:noProof/>
        </w:rPr>
        <w:instrText xml:space="preserve"> PAGEREF _Toc21525823 \h </w:instrText>
      </w:r>
      <w:r>
        <w:rPr>
          <w:noProof/>
        </w:rPr>
      </w:r>
      <w:r>
        <w:rPr>
          <w:noProof/>
        </w:rPr>
        <w:fldChar w:fldCharType="separate"/>
      </w:r>
      <w:r>
        <w:rPr>
          <w:noProof/>
        </w:rPr>
        <w:t>5</w:t>
      </w:r>
      <w:r>
        <w:rPr>
          <w:noProof/>
        </w:rPr>
        <w:fldChar w:fldCharType="end"/>
      </w:r>
    </w:p>
    <w:p w14:paraId="54AA1901"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Collective Complaints</w:t>
      </w:r>
      <w:r>
        <w:rPr>
          <w:noProof/>
        </w:rPr>
        <w:tab/>
      </w:r>
      <w:r>
        <w:rPr>
          <w:noProof/>
        </w:rPr>
        <w:fldChar w:fldCharType="begin"/>
      </w:r>
      <w:r>
        <w:rPr>
          <w:noProof/>
        </w:rPr>
        <w:instrText xml:space="preserve"> PAGEREF _Toc21525824 \h </w:instrText>
      </w:r>
      <w:r>
        <w:rPr>
          <w:noProof/>
        </w:rPr>
      </w:r>
      <w:r>
        <w:rPr>
          <w:noProof/>
        </w:rPr>
        <w:fldChar w:fldCharType="separate"/>
      </w:r>
      <w:r>
        <w:rPr>
          <w:noProof/>
        </w:rPr>
        <w:t>5</w:t>
      </w:r>
      <w:r>
        <w:rPr>
          <w:noProof/>
        </w:rPr>
        <w:fldChar w:fldCharType="end"/>
      </w:r>
    </w:p>
    <w:p w14:paraId="1C8E0B2A"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Frivolous or vexatious complaints</w:t>
      </w:r>
      <w:r>
        <w:rPr>
          <w:noProof/>
        </w:rPr>
        <w:tab/>
      </w:r>
      <w:r>
        <w:rPr>
          <w:noProof/>
        </w:rPr>
        <w:fldChar w:fldCharType="begin"/>
      </w:r>
      <w:r>
        <w:rPr>
          <w:noProof/>
        </w:rPr>
        <w:instrText xml:space="preserve"> PAGEREF _Toc21525825 \h </w:instrText>
      </w:r>
      <w:r>
        <w:rPr>
          <w:noProof/>
        </w:rPr>
      </w:r>
      <w:r>
        <w:rPr>
          <w:noProof/>
        </w:rPr>
        <w:fldChar w:fldCharType="separate"/>
      </w:r>
      <w:r>
        <w:rPr>
          <w:noProof/>
        </w:rPr>
        <w:t>5</w:t>
      </w:r>
      <w:r>
        <w:rPr>
          <w:noProof/>
        </w:rPr>
        <w:fldChar w:fldCharType="end"/>
      </w:r>
    </w:p>
    <w:p w14:paraId="104F0EE5"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Anonymous complaints</w:t>
      </w:r>
      <w:r>
        <w:rPr>
          <w:noProof/>
        </w:rPr>
        <w:tab/>
      </w:r>
      <w:r>
        <w:rPr>
          <w:noProof/>
        </w:rPr>
        <w:fldChar w:fldCharType="begin"/>
      </w:r>
      <w:r>
        <w:rPr>
          <w:noProof/>
        </w:rPr>
        <w:instrText xml:space="preserve"> PAGEREF _Toc21525826 \h </w:instrText>
      </w:r>
      <w:r>
        <w:rPr>
          <w:noProof/>
        </w:rPr>
      </w:r>
      <w:r>
        <w:rPr>
          <w:noProof/>
        </w:rPr>
        <w:fldChar w:fldCharType="separate"/>
      </w:r>
      <w:r>
        <w:rPr>
          <w:noProof/>
        </w:rPr>
        <w:t>5</w:t>
      </w:r>
      <w:r>
        <w:rPr>
          <w:noProof/>
        </w:rPr>
        <w:fldChar w:fldCharType="end"/>
      </w:r>
    </w:p>
    <w:p w14:paraId="43FB295A"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Unacceptable behaviour</w:t>
      </w:r>
      <w:r>
        <w:rPr>
          <w:noProof/>
        </w:rPr>
        <w:tab/>
      </w:r>
      <w:r>
        <w:rPr>
          <w:noProof/>
        </w:rPr>
        <w:fldChar w:fldCharType="begin"/>
      </w:r>
      <w:r>
        <w:rPr>
          <w:noProof/>
        </w:rPr>
        <w:instrText xml:space="preserve"> PAGEREF _Toc21525827 \h </w:instrText>
      </w:r>
      <w:r>
        <w:rPr>
          <w:noProof/>
        </w:rPr>
      </w:r>
      <w:r>
        <w:rPr>
          <w:noProof/>
        </w:rPr>
        <w:fldChar w:fldCharType="separate"/>
      </w:r>
      <w:r>
        <w:rPr>
          <w:noProof/>
        </w:rPr>
        <w:t>6</w:t>
      </w:r>
      <w:r>
        <w:rPr>
          <w:noProof/>
        </w:rPr>
        <w:fldChar w:fldCharType="end"/>
      </w:r>
    </w:p>
    <w:p w14:paraId="156E4A73"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Time limit for making complaints</w:t>
      </w:r>
      <w:r>
        <w:rPr>
          <w:noProof/>
        </w:rPr>
        <w:tab/>
      </w:r>
      <w:r>
        <w:rPr>
          <w:noProof/>
        </w:rPr>
        <w:fldChar w:fldCharType="begin"/>
      </w:r>
      <w:r>
        <w:rPr>
          <w:noProof/>
        </w:rPr>
        <w:instrText xml:space="preserve"> PAGEREF _Toc21525828 \h </w:instrText>
      </w:r>
      <w:r>
        <w:rPr>
          <w:noProof/>
        </w:rPr>
      </w:r>
      <w:r>
        <w:rPr>
          <w:noProof/>
        </w:rPr>
        <w:fldChar w:fldCharType="separate"/>
      </w:r>
      <w:r>
        <w:rPr>
          <w:noProof/>
        </w:rPr>
        <w:t>6</w:t>
      </w:r>
      <w:r>
        <w:rPr>
          <w:noProof/>
        </w:rPr>
        <w:fldChar w:fldCharType="end"/>
      </w:r>
    </w:p>
    <w:p w14:paraId="432ACEB5"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The Complaints Procedure</w:t>
      </w:r>
      <w:r>
        <w:rPr>
          <w:noProof/>
        </w:rPr>
        <w:tab/>
      </w:r>
      <w:r>
        <w:rPr>
          <w:noProof/>
        </w:rPr>
        <w:fldChar w:fldCharType="begin"/>
      </w:r>
      <w:r>
        <w:rPr>
          <w:noProof/>
        </w:rPr>
        <w:instrText xml:space="preserve"> PAGEREF _Toc21525829 \h </w:instrText>
      </w:r>
      <w:r>
        <w:rPr>
          <w:noProof/>
        </w:rPr>
      </w:r>
      <w:r>
        <w:rPr>
          <w:noProof/>
        </w:rPr>
        <w:fldChar w:fldCharType="separate"/>
      </w:r>
      <w:r>
        <w:rPr>
          <w:noProof/>
        </w:rPr>
        <w:t>7</w:t>
      </w:r>
      <w:r>
        <w:rPr>
          <w:noProof/>
        </w:rPr>
        <w:fldChar w:fldCharType="end"/>
      </w:r>
    </w:p>
    <w:p w14:paraId="5C48C0AE"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Figure 2. The Complaints Procedure</w:t>
      </w:r>
      <w:r>
        <w:rPr>
          <w:noProof/>
        </w:rPr>
        <w:tab/>
      </w:r>
      <w:r>
        <w:rPr>
          <w:noProof/>
        </w:rPr>
        <w:fldChar w:fldCharType="begin"/>
      </w:r>
      <w:r>
        <w:rPr>
          <w:noProof/>
        </w:rPr>
        <w:instrText xml:space="preserve"> PAGEREF _Toc21525830 \h </w:instrText>
      </w:r>
      <w:r>
        <w:rPr>
          <w:noProof/>
        </w:rPr>
      </w:r>
      <w:r>
        <w:rPr>
          <w:noProof/>
        </w:rPr>
        <w:fldChar w:fldCharType="separate"/>
      </w:r>
      <w:r>
        <w:rPr>
          <w:noProof/>
        </w:rPr>
        <w:t>8</w:t>
      </w:r>
      <w:r>
        <w:rPr>
          <w:noProof/>
        </w:rPr>
        <w:fldChar w:fldCharType="end"/>
      </w:r>
    </w:p>
    <w:p w14:paraId="6E14C5A0"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Completion of procedures and recourse to independent, external review</w:t>
      </w:r>
      <w:r>
        <w:rPr>
          <w:noProof/>
        </w:rPr>
        <w:tab/>
      </w:r>
      <w:r>
        <w:rPr>
          <w:noProof/>
        </w:rPr>
        <w:fldChar w:fldCharType="begin"/>
      </w:r>
      <w:r>
        <w:rPr>
          <w:noProof/>
        </w:rPr>
        <w:instrText xml:space="preserve"> PAGEREF _Toc21525831 \h </w:instrText>
      </w:r>
      <w:r>
        <w:rPr>
          <w:noProof/>
        </w:rPr>
      </w:r>
      <w:r>
        <w:rPr>
          <w:noProof/>
        </w:rPr>
        <w:fldChar w:fldCharType="separate"/>
      </w:r>
      <w:r>
        <w:rPr>
          <w:noProof/>
        </w:rPr>
        <w:t>11</w:t>
      </w:r>
      <w:r>
        <w:rPr>
          <w:noProof/>
        </w:rPr>
        <w:fldChar w:fldCharType="end"/>
      </w:r>
    </w:p>
    <w:p w14:paraId="2DEE72FA"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Maintaining confidentiality</w:t>
      </w:r>
      <w:r>
        <w:rPr>
          <w:noProof/>
        </w:rPr>
        <w:tab/>
      </w:r>
      <w:r>
        <w:rPr>
          <w:noProof/>
        </w:rPr>
        <w:fldChar w:fldCharType="begin"/>
      </w:r>
      <w:r>
        <w:rPr>
          <w:noProof/>
        </w:rPr>
        <w:instrText xml:space="preserve"> PAGEREF _Toc21525832 \h </w:instrText>
      </w:r>
      <w:r>
        <w:rPr>
          <w:noProof/>
        </w:rPr>
      </w:r>
      <w:r>
        <w:rPr>
          <w:noProof/>
        </w:rPr>
        <w:fldChar w:fldCharType="separate"/>
      </w:r>
      <w:r>
        <w:rPr>
          <w:noProof/>
        </w:rPr>
        <w:t>11</w:t>
      </w:r>
      <w:r>
        <w:rPr>
          <w:noProof/>
        </w:rPr>
        <w:fldChar w:fldCharType="end"/>
      </w:r>
    </w:p>
    <w:p w14:paraId="2FBDB138" w14:textId="77777777" w:rsidR="002C156D" w:rsidRDefault="002C156D">
      <w:pPr>
        <w:pStyle w:val="TOC1"/>
        <w:tabs>
          <w:tab w:val="right" w:leader="dot" w:pos="9016"/>
        </w:tabs>
        <w:rPr>
          <w:rFonts w:eastAsiaTheme="minorEastAsia"/>
          <w:b w:val="0"/>
          <w:bCs w:val="0"/>
          <w:caps w:val="0"/>
          <w:noProof/>
          <w:sz w:val="22"/>
          <w:szCs w:val="22"/>
          <w:lang w:eastAsia="en-GB"/>
        </w:rPr>
      </w:pPr>
      <w:r>
        <w:rPr>
          <w:noProof/>
        </w:rPr>
        <w:t>Data security and records retention</w:t>
      </w:r>
      <w:r>
        <w:rPr>
          <w:noProof/>
        </w:rPr>
        <w:tab/>
      </w:r>
      <w:r>
        <w:rPr>
          <w:noProof/>
        </w:rPr>
        <w:fldChar w:fldCharType="begin"/>
      </w:r>
      <w:r>
        <w:rPr>
          <w:noProof/>
        </w:rPr>
        <w:instrText xml:space="preserve"> PAGEREF _Toc21525833 \h </w:instrText>
      </w:r>
      <w:r>
        <w:rPr>
          <w:noProof/>
        </w:rPr>
      </w:r>
      <w:r>
        <w:rPr>
          <w:noProof/>
        </w:rPr>
        <w:fldChar w:fldCharType="separate"/>
      </w:r>
      <w:r>
        <w:rPr>
          <w:noProof/>
        </w:rPr>
        <w:t>11</w:t>
      </w:r>
      <w:r>
        <w:rPr>
          <w:noProof/>
        </w:rPr>
        <w:fldChar w:fldCharType="end"/>
      </w:r>
    </w:p>
    <w:p w14:paraId="72932AF5" w14:textId="77777777" w:rsidR="00577D5F" w:rsidRDefault="00577D5F" w:rsidP="002063F8">
      <w:pPr>
        <w:spacing w:after="0" w:line="240" w:lineRule="auto"/>
      </w:pPr>
      <w:r w:rsidRPr="00577D5F">
        <w:fldChar w:fldCharType="end"/>
      </w:r>
    </w:p>
    <w:p w14:paraId="12E3E55A" w14:textId="77777777" w:rsidR="00577D5F" w:rsidRDefault="00577D5F" w:rsidP="002063F8">
      <w:pPr>
        <w:spacing w:after="0" w:line="240" w:lineRule="auto"/>
      </w:pPr>
    </w:p>
    <w:p w14:paraId="4BE27A59" w14:textId="77777777" w:rsidR="00577D5F" w:rsidRDefault="00577D5F" w:rsidP="002063F8">
      <w:pPr>
        <w:spacing w:after="0" w:line="240" w:lineRule="auto"/>
      </w:pPr>
    </w:p>
    <w:p w14:paraId="4A7C7B34" w14:textId="77777777" w:rsidR="00577D5F" w:rsidRDefault="00577D5F" w:rsidP="002063F8">
      <w:pPr>
        <w:spacing w:after="0" w:line="240" w:lineRule="auto"/>
      </w:pPr>
    </w:p>
    <w:p w14:paraId="248F4FAF" w14:textId="77777777" w:rsidR="00577D5F" w:rsidRDefault="00577D5F" w:rsidP="002063F8">
      <w:pPr>
        <w:spacing w:after="0" w:line="240" w:lineRule="auto"/>
      </w:pPr>
    </w:p>
    <w:p w14:paraId="28F0C597" w14:textId="77777777" w:rsidR="00577D5F" w:rsidRDefault="00577D5F" w:rsidP="002063F8">
      <w:pPr>
        <w:spacing w:after="0" w:line="240" w:lineRule="auto"/>
      </w:pPr>
    </w:p>
    <w:p w14:paraId="37D9039A" w14:textId="77777777" w:rsidR="00577D5F" w:rsidRDefault="00577D5F" w:rsidP="002063F8">
      <w:pPr>
        <w:spacing w:after="0" w:line="240" w:lineRule="auto"/>
      </w:pPr>
    </w:p>
    <w:p w14:paraId="1B6C0B4E" w14:textId="77777777" w:rsidR="00CA4CA1" w:rsidRDefault="00CA4CA1">
      <w:pPr>
        <w:rPr>
          <w:u w:val="single"/>
        </w:rPr>
      </w:pPr>
      <w:bookmarkStart w:id="2" w:name="_Toc514666117"/>
      <w:r>
        <w:br w:type="page"/>
      </w:r>
    </w:p>
    <w:p w14:paraId="1AFA7971" w14:textId="21822BC8" w:rsidR="00577D5F" w:rsidRDefault="00061CF7" w:rsidP="00A74814">
      <w:pPr>
        <w:pStyle w:val="Heading1"/>
      </w:pPr>
      <w:bookmarkStart w:id="3" w:name="_Toc21525821"/>
      <w:r w:rsidRPr="00061CF7">
        <w:t>Figure 1</w:t>
      </w:r>
      <w:r w:rsidR="002C156D">
        <w:t>.</w:t>
      </w:r>
      <w:r w:rsidRPr="00061CF7">
        <w:t xml:space="preserve"> Overview of the Complaints Handling Procedure</w:t>
      </w:r>
      <w:bookmarkEnd w:id="2"/>
      <w:bookmarkEnd w:id="3"/>
      <w:r w:rsidR="000106A2">
        <w:t xml:space="preserve"> </w:t>
      </w:r>
    </w:p>
    <w:bookmarkStart w:id="4" w:name="_Toc514666118"/>
    <w:bookmarkEnd w:id="4"/>
    <w:p w14:paraId="1611B02E" w14:textId="77777777" w:rsidR="00577D5F" w:rsidRDefault="00065D29" w:rsidP="002063F8">
      <w:pPr>
        <w:pStyle w:val="Style1"/>
      </w:pPr>
      <w:r>
        <w:object w:dxaOrig="11415" w:dyaOrig="15915" w14:anchorId="48C8B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68pt;height:651.75pt" o:ole="">
            <v:imagedata r:id="rId10" o:title=""/>
          </v:shape>
          <o:OLEObject Type="Embed" ProgID="Visio.Drawing.15" ShapeID="_x0000_i1038" DrawAspect="Content" ObjectID="_1632138770" r:id="rId11"/>
        </w:object>
      </w:r>
    </w:p>
    <w:p w14:paraId="0FBA46E7" w14:textId="77777777" w:rsidR="008F7D04" w:rsidRPr="007508D3" w:rsidRDefault="00CA4CA1" w:rsidP="00A74814">
      <w:pPr>
        <w:pStyle w:val="Heading1"/>
      </w:pPr>
      <w:bookmarkStart w:id="5" w:name="_Toc514666119"/>
      <w:r>
        <w:br w:type="page"/>
      </w:r>
      <w:bookmarkStart w:id="6" w:name="_Toc21525822"/>
      <w:r w:rsidR="008F7D04" w:rsidRPr="00A62087">
        <w:t>What is a complaint?</w:t>
      </w:r>
      <w:bookmarkEnd w:id="5"/>
      <w:bookmarkEnd w:id="6"/>
    </w:p>
    <w:p w14:paraId="783EBBF2" w14:textId="77777777" w:rsidR="008F7D04" w:rsidRDefault="008F7D04" w:rsidP="008F7D04">
      <w:pPr>
        <w:pStyle w:val="ListParagraph"/>
        <w:numPr>
          <w:ilvl w:val="0"/>
          <w:numId w:val="3"/>
        </w:numPr>
        <w:spacing w:after="100" w:afterAutospacing="1" w:line="240" w:lineRule="auto"/>
      </w:pPr>
      <w:r>
        <w:t>For the purpose of this procedure, a complaint may be defined as:</w:t>
      </w:r>
    </w:p>
    <w:p w14:paraId="19BD1D51" w14:textId="77777777" w:rsidR="008F7D04" w:rsidRDefault="008F7D04" w:rsidP="008F7D04">
      <w:pPr>
        <w:spacing w:after="100" w:afterAutospacing="1" w:line="240" w:lineRule="auto"/>
        <w:ind w:left="360"/>
      </w:pPr>
      <w:r>
        <w:t xml:space="preserve">“An expression of dissatisfaction by one or more </w:t>
      </w:r>
      <w:r w:rsidR="00781614">
        <w:t>student SQP</w:t>
      </w:r>
      <w:r w:rsidR="00370CD6">
        <w:t>s</w:t>
      </w:r>
      <w:r>
        <w:t xml:space="preserve"> about the standard of service, action or lack of action, </w:t>
      </w:r>
      <w:r w:rsidR="00F367FB">
        <w:t>provided by</w:t>
      </w:r>
      <w:r>
        <w:t xml:space="preserve"> </w:t>
      </w:r>
      <w:r w:rsidR="00B07771">
        <w:t>AMTRA</w:t>
      </w:r>
      <w:r>
        <w:t>.”</w:t>
      </w:r>
    </w:p>
    <w:p w14:paraId="071A5D35" w14:textId="77777777" w:rsidR="008F7D04" w:rsidRDefault="008F7D04" w:rsidP="008F7D04">
      <w:pPr>
        <w:pStyle w:val="ListParagraph"/>
        <w:numPr>
          <w:ilvl w:val="0"/>
          <w:numId w:val="3"/>
        </w:numPr>
        <w:spacing w:after="100" w:afterAutospacing="1" w:line="240" w:lineRule="auto"/>
      </w:pPr>
      <w:r>
        <w:t>A complaint may relate to:</w:t>
      </w:r>
    </w:p>
    <w:p w14:paraId="19767740" w14:textId="77777777" w:rsidR="008F7D04" w:rsidRDefault="008F7D04" w:rsidP="008F7D04">
      <w:pPr>
        <w:pStyle w:val="ListParagraph"/>
        <w:numPr>
          <w:ilvl w:val="0"/>
          <w:numId w:val="1"/>
        </w:numPr>
        <w:spacing w:after="100" w:afterAutospacing="1" w:line="240" w:lineRule="auto"/>
      </w:pPr>
      <w:r>
        <w:t>The quality and standard of service</w:t>
      </w:r>
      <w:r w:rsidR="00A62087">
        <w:t xml:space="preserve"> provided by AMTRA</w:t>
      </w:r>
    </w:p>
    <w:p w14:paraId="70C9802E" w14:textId="77777777" w:rsidR="008F7D04" w:rsidRDefault="008F7D04" w:rsidP="008F7D04">
      <w:pPr>
        <w:pStyle w:val="ListParagraph"/>
        <w:numPr>
          <w:ilvl w:val="0"/>
          <w:numId w:val="1"/>
        </w:numPr>
        <w:spacing w:after="100" w:afterAutospacing="1" w:line="240" w:lineRule="auto"/>
      </w:pPr>
      <w:r>
        <w:t xml:space="preserve">Failure </w:t>
      </w:r>
      <w:r w:rsidR="00A62087">
        <w:t xml:space="preserve">by AMTRA </w:t>
      </w:r>
      <w:r>
        <w:t>to provide a service</w:t>
      </w:r>
    </w:p>
    <w:p w14:paraId="7D474BCF" w14:textId="77777777" w:rsidR="008F7D04" w:rsidRDefault="008F7D04" w:rsidP="008F7D04">
      <w:pPr>
        <w:pStyle w:val="ListParagraph"/>
        <w:numPr>
          <w:ilvl w:val="0"/>
          <w:numId w:val="1"/>
        </w:numPr>
        <w:spacing w:after="100" w:afterAutospacing="1" w:line="240" w:lineRule="auto"/>
      </w:pPr>
      <w:r>
        <w:t xml:space="preserve">Treatment by or attitude of a member of </w:t>
      </w:r>
      <w:r w:rsidR="00B07771">
        <w:t xml:space="preserve">AMTRA </w:t>
      </w:r>
      <w:r>
        <w:t>staff</w:t>
      </w:r>
      <w:r w:rsidR="00185EA5">
        <w:t xml:space="preserve"> or </w:t>
      </w:r>
      <w:r>
        <w:t>representative</w:t>
      </w:r>
    </w:p>
    <w:p w14:paraId="33344201" w14:textId="77777777" w:rsidR="006E5DF1" w:rsidRDefault="006E5DF1" w:rsidP="008F7D04">
      <w:pPr>
        <w:pStyle w:val="ListParagraph"/>
        <w:numPr>
          <w:ilvl w:val="0"/>
          <w:numId w:val="1"/>
        </w:numPr>
        <w:spacing w:after="100" w:afterAutospacing="1" w:line="240" w:lineRule="auto"/>
      </w:pPr>
      <w:r>
        <w:t xml:space="preserve">The failure of </w:t>
      </w:r>
      <w:r w:rsidR="00B07771">
        <w:t xml:space="preserve">AMTRA </w:t>
      </w:r>
      <w:r>
        <w:t>to follow an appropriate administrative process</w:t>
      </w:r>
    </w:p>
    <w:p w14:paraId="76D4F94D" w14:textId="77777777" w:rsidR="006E5DF1" w:rsidRDefault="006E5DF1" w:rsidP="008F7D04">
      <w:pPr>
        <w:pStyle w:val="ListParagraph"/>
        <w:numPr>
          <w:ilvl w:val="0"/>
          <w:numId w:val="1"/>
        </w:numPr>
        <w:spacing w:after="100" w:afterAutospacing="1" w:line="240" w:lineRule="auto"/>
      </w:pPr>
      <w:r>
        <w:t>Dissatisfaction with a</w:t>
      </w:r>
      <w:r w:rsidR="00B07771">
        <w:t>n</w:t>
      </w:r>
      <w:r>
        <w:t xml:space="preserve"> </w:t>
      </w:r>
      <w:r w:rsidR="00B07771">
        <w:t xml:space="preserve">AMTRA </w:t>
      </w:r>
      <w:r>
        <w:t xml:space="preserve">policy, although it is recognised that policy is set at the discretion of </w:t>
      </w:r>
      <w:r w:rsidR="00B07771">
        <w:t>AMTRA</w:t>
      </w:r>
    </w:p>
    <w:p w14:paraId="636CF01D" w14:textId="77777777" w:rsidR="006E5DF1" w:rsidRDefault="006E5DF1" w:rsidP="008F7D04">
      <w:pPr>
        <w:pStyle w:val="ListParagraph"/>
        <w:numPr>
          <w:ilvl w:val="0"/>
          <w:numId w:val="1"/>
        </w:numPr>
        <w:spacing w:after="100" w:afterAutospacing="1" w:line="240" w:lineRule="auto"/>
      </w:pPr>
      <w:r>
        <w:t xml:space="preserve">The refusal </w:t>
      </w:r>
      <w:r w:rsidR="00A62087">
        <w:t xml:space="preserve">by AMTRA </w:t>
      </w:r>
      <w:r>
        <w:t>of a reasonable adjustment request by a disabled student under the terms of the Equality Act 2010</w:t>
      </w:r>
    </w:p>
    <w:p w14:paraId="65446D29" w14:textId="77777777" w:rsidR="008F7D04" w:rsidRDefault="008F7D04" w:rsidP="008F7D04">
      <w:pPr>
        <w:pStyle w:val="ListParagraph"/>
        <w:spacing w:after="100" w:afterAutospacing="1" w:line="240" w:lineRule="auto"/>
      </w:pPr>
    </w:p>
    <w:p w14:paraId="0D1CBBED" w14:textId="77777777" w:rsidR="008F7D04" w:rsidRDefault="008F7D04" w:rsidP="00193207">
      <w:pPr>
        <w:pStyle w:val="ListParagraph"/>
        <w:numPr>
          <w:ilvl w:val="0"/>
          <w:numId w:val="3"/>
        </w:numPr>
        <w:spacing w:after="0" w:line="240" w:lineRule="auto"/>
        <w:ind w:left="357" w:hanging="357"/>
      </w:pPr>
      <w:r>
        <w:t xml:space="preserve">This definition is very broad and the list above is not exhaustive. However, not every concern raised is a complaint. For example, the following </w:t>
      </w:r>
      <w:r w:rsidRPr="00E659F2">
        <w:rPr>
          <w:b/>
        </w:rPr>
        <w:t>are not complaints</w:t>
      </w:r>
      <w:r w:rsidR="00A62087">
        <w:rPr>
          <w:b/>
        </w:rPr>
        <w:t xml:space="preserve"> handled by this document</w:t>
      </w:r>
      <w:r>
        <w:t>:</w:t>
      </w:r>
    </w:p>
    <w:p w14:paraId="22623A82" w14:textId="77777777" w:rsidR="00511505" w:rsidRPr="00511505" w:rsidRDefault="00511505" w:rsidP="00193207">
      <w:pPr>
        <w:pStyle w:val="ListParagraph"/>
        <w:numPr>
          <w:ilvl w:val="0"/>
          <w:numId w:val="1"/>
        </w:numPr>
        <w:spacing w:after="0" w:line="240" w:lineRule="auto"/>
      </w:pPr>
      <w:r w:rsidRPr="00511505">
        <w:t xml:space="preserve">A request to a member of staff </w:t>
      </w:r>
      <w:r w:rsidR="00185EA5">
        <w:t xml:space="preserve">or representative </w:t>
      </w:r>
      <w:r w:rsidRPr="00511505">
        <w:t xml:space="preserve">to revise the way in which they provide support or guidance, in order to allow the </w:t>
      </w:r>
      <w:r w:rsidR="00781614">
        <w:t>student SQP</w:t>
      </w:r>
      <w:r w:rsidRPr="00511505">
        <w:t xml:space="preserve"> to learn more effectively</w:t>
      </w:r>
    </w:p>
    <w:p w14:paraId="2D6B44AD" w14:textId="77777777" w:rsidR="00511505" w:rsidRPr="00B90F88" w:rsidRDefault="00511505" w:rsidP="00193207">
      <w:pPr>
        <w:pStyle w:val="ListParagraph"/>
        <w:numPr>
          <w:ilvl w:val="0"/>
          <w:numId w:val="1"/>
        </w:numPr>
        <w:spacing w:after="0" w:line="240" w:lineRule="auto"/>
      </w:pPr>
      <w:r w:rsidRPr="00B90F88">
        <w:t>A routine, first-time request for a service</w:t>
      </w:r>
    </w:p>
    <w:p w14:paraId="07366436" w14:textId="77777777" w:rsidR="00844F8A" w:rsidRPr="00B90F88" w:rsidRDefault="00844F8A" w:rsidP="00193207">
      <w:pPr>
        <w:pStyle w:val="ListParagraph"/>
        <w:numPr>
          <w:ilvl w:val="0"/>
          <w:numId w:val="1"/>
        </w:numPr>
        <w:spacing w:after="0" w:line="240" w:lineRule="auto"/>
      </w:pPr>
      <w:r w:rsidRPr="00B90F88">
        <w:t>A request under the Freedom of Information Act</w:t>
      </w:r>
      <w:r w:rsidR="00CA4CA1" w:rsidRPr="00C5124F">
        <w:t xml:space="preserve"> or</w:t>
      </w:r>
      <w:r w:rsidR="00A92B27" w:rsidRPr="00C5124F">
        <w:t xml:space="preserve"> General Data Protection Regulation</w:t>
      </w:r>
      <w:r w:rsidR="00CA4CA1" w:rsidRPr="00C5124F">
        <w:t>.</w:t>
      </w:r>
      <w:r w:rsidR="00A92B27" w:rsidRPr="00C5124F">
        <w:t xml:space="preserve"> </w:t>
      </w:r>
      <w:r w:rsidRPr="00B90F88">
        <w:t xml:space="preserve"> </w:t>
      </w:r>
    </w:p>
    <w:p w14:paraId="4CAF2A68" w14:textId="77777777" w:rsidR="00511505" w:rsidRPr="00511505" w:rsidRDefault="00511505" w:rsidP="00193207">
      <w:pPr>
        <w:pStyle w:val="ListParagraph"/>
        <w:numPr>
          <w:ilvl w:val="0"/>
          <w:numId w:val="1"/>
        </w:numPr>
        <w:spacing w:after="0" w:line="240" w:lineRule="auto"/>
      </w:pPr>
      <w:r w:rsidRPr="00511505">
        <w:t>A request for information or an explanation of policy or practice</w:t>
      </w:r>
    </w:p>
    <w:p w14:paraId="76FAB9DC" w14:textId="77777777" w:rsidR="00511505" w:rsidRPr="00511505" w:rsidRDefault="00511505" w:rsidP="00193207">
      <w:pPr>
        <w:pStyle w:val="ListParagraph"/>
        <w:numPr>
          <w:ilvl w:val="0"/>
          <w:numId w:val="1"/>
        </w:numPr>
        <w:spacing w:after="0" w:line="240" w:lineRule="auto"/>
      </w:pPr>
      <w:r w:rsidRPr="00511505">
        <w:t>An insurance claim</w:t>
      </w:r>
    </w:p>
    <w:p w14:paraId="0BB92436" w14:textId="77777777" w:rsidR="00511505" w:rsidRPr="00511505" w:rsidRDefault="00511505" w:rsidP="00193207">
      <w:pPr>
        <w:pStyle w:val="ListParagraph"/>
        <w:numPr>
          <w:ilvl w:val="0"/>
          <w:numId w:val="1"/>
        </w:numPr>
        <w:spacing w:after="0" w:line="240" w:lineRule="auto"/>
      </w:pPr>
      <w:r w:rsidRPr="00511505">
        <w:t>An issue which is being, or has been, considered by a court or tribunal</w:t>
      </w:r>
    </w:p>
    <w:p w14:paraId="58AEE5AF" w14:textId="77777777" w:rsidR="00511505" w:rsidRPr="00511505" w:rsidRDefault="00511505" w:rsidP="00193207">
      <w:pPr>
        <w:pStyle w:val="ListParagraph"/>
        <w:numPr>
          <w:ilvl w:val="0"/>
          <w:numId w:val="1"/>
        </w:numPr>
        <w:spacing w:after="0" w:line="240" w:lineRule="auto"/>
      </w:pPr>
      <w:r w:rsidRPr="00511505">
        <w:t xml:space="preserve">An attempt to have a complaint reconsidered where </w:t>
      </w:r>
      <w:r w:rsidR="00FE5FEC">
        <w:t xml:space="preserve">a </w:t>
      </w:r>
      <w:r w:rsidR="00B07771">
        <w:t>AMTRA</w:t>
      </w:r>
      <w:r w:rsidR="00B07771" w:rsidRPr="00511505">
        <w:t xml:space="preserve"> </w:t>
      </w:r>
      <w:r w:rsidRPr="00511505">
        <w:t>procedure has been completed and a decision has been issued</w:t>
      </w:r>
    </w:p>
    <w:p w14:paraId="48AE6202" w14:textId="77777777" w:rsidR="00511505" w:rsidRDefault="00511505" w:rsidP="00193207">
      <w:pPr>
        <w:pStyle w:val="ListParagraph"/>
        <w:numPr>
          <w:ilvl w:val="0"/>
          <w:numId w:val="1"/>
        </w:numPr>
        <w:spacing w:after="0" w:line="240" w:lineRule="auto"/>
      </w:pPr>
      <w:r w:rsidRPr="00511505">
        <w:t>An appeal about an academic decision</w:t>
      </w:r>
      <w:r w:rsidR="00F367FB">
        <w:t xml:space="preserve"> in relation to the award of grades and academic credit</w:t>
      </w:r>
      <w:r w:rsidRPr="00511505">
        <w:t xml:space="preserve"> </w:t>
      </w:r>
    </w:p>
    <w:p w14:paraId="64F2D518" w14:textId="77777777" w:rsidR="00A62087" w:rsidRDefault="00A62087" w:rsidP="00A62087">
      <w:pPr>
        <w:pStyle w:val="ListParagraph"/>
        <w:numPr>
          <w:ilvl w:val="0"/>
          <w:numId w:val="1"/>
        </w:numPr>
        <w:spacing w:after="100" w:afterAutospacing="1" w:line="240" w:lineRule="auto"/>
      </w:pPr>
      <w:r>
        <w:t>Concerns about the quality of facilities or learning resources provided by an organisation providing SQP training</w:t>
      </w:r>
      <w:r w:rsidR="008B381E">
        <w:t xml:space="preserve"> which is in addition to that provided as part of the contract between AMTRA and a student SQP</w:t>
      </w:r>
    </w:p>
    <w:p w14:paraId="52E5E8E9" w14:textId="77777777" w:rsidR="00A62087" w:rsidRDefault="00A62087" w:rsidP="007508D3">
      <w:pPr>
        <w:pStyle w:val="ListParagraph"/>
        <w:numPr>
          <w:ilvl w:val="0"/>
          <w:numId w:val="1"/>
        </w:numPr>
        <w:spacing w:after="100" w:afterAutospacing="1" w:line="240" w:lineRule="auto"/>
      </w:pPr>
      <w:r>
        <w:t xml:space="preserve">Failure by a training organisation to address the behaviour of other </w:t>
      </w:r>
      <w:r w:rsidR="00781614">
        <w:t>student SQP</w:t>
      </w:r>
      <w:r>
        <w:t>s that impacts on learning</w:t>
      </w:r>
    </w:p>
    <w:p w14:paraId="592521C3" w14:textId="77777777" w:rsidR="00193207" w:rsidRPr="00511505" w:rsidRDefault="00193207" w:rsidP="00193207">
      <w:pPr>
        <w:pStyle w:val="ListParagraph"/>
        <w:spacing w:after="0" w:line="240" w:lineRule="auto"/>
      </w:pPr>
    </w:p>
    <w:p w14:paraId="008D1DFF" w14:textId="77777777" w:rsidR="00193207" w:rsidRDefault="00193207" w:rsidP="008D7C4E">
      <w:pPr>
        <w:spacing w:after="0" w:line="240" w:lineRule="auto"/>
        <w:ind w:left="357" w:hanging="357"/>
      </w:pPr>
      <w:r>
        <w:t>4.</w:t>
      </w:r>
      <w:r>
        <w:tab/>
      </w:r>
      <w:r w:rsidR="00781614">
        <w:t>Issues under point 3</w:t>
      </w:r>
      <w:r>
        <w:t xml:space="preserve"> will be dealt with directly with individuals providing a service or under alternative appropriate processes rather than under </w:t>
      </w:r>
      <w:r w:rsidR="00781614">
        <w:t xml:space="preserve">this </w:t>
      </w:r>
      <w:r>
        <w:t>complaints procedure.  It should be noted, however, that some situations can involve a combination of issues, some are complaints and others are not, and each case should be assessed on a case by case basis.  Other procedures which students might have cause to use include the following:</w:t>
      </w:r>
    </w:p>
    <w:p w14:paraId="40C45F2F" w14:textId="77777777" w:rsidR="00193207" w:rsidRDefault="00193207" w:rsidP="00193207">
      <w:pPr>
        <w:spacing w:after="0" w:line="240" w:lineRule="auto"/>
        <w:ind w:left="717" w:hanging="360"/>
      </w:pPr>
      <w:r>
        <w:t>•</w:t>
      </w:r>
      <w:r>
        <w:tab/>
        <w:t xml:space="preserve">Arrangements to request a review of marks, prior to ‘ratification’ as set out in the </w:t>
      </w:r>
      <w:r w:rsidRPr="00E659F2">
        <w:rPr>
          <w:i/>
        </w:rPr>
        <w:t>Assessment Arrangements</w:t>
      </w:r>
      <w:r>
        <w:t xml:space="preserve"> at Paragraph 38, Annex 5.29 of the Harper Adams University </w:t>
      </w:r>
      <w:r w:rsidRPr="00E659F2">
        <w:rPr>
          <w:i/>
        </w:rPr>
        <w:t>Academic Quality Assurance Manual</w:t>
      </w:r>
      <w:r>
        <w:t xml:space="preserve"> and Paragraph 1 of the </w:t>
      </w:r>
      <w:r w:rsidRPr="00E659F2">
        <w:rPr>
          <w:i/>
        </w:rPr>
        <w:t>Academic Appeals</w:t>
      </w:r>
      <w:r>
        <w:t xml:space="preserve"> arrangements</w:t>
      </w:r>
      <w:r w:rsidR="00F367FB">
        <w:t>.</w:t>
      </w:r>
    </w:p>
    <w:p w14:paraId="4884539C" w14:textId="77777777" w:rsidR="00701E38" w:rsidRDefault="00193207" w:rsidP="00701E38">
      <w:pPr>
        <w:spacing w:after="0" w:line="240" w:lineRule="auto"/>
        <w:ind w:left="717" w:hanging="360"/>
      </w:pPr>
      <w:r>
        <w:t>•</w:t>
      </w:r>
      <w:r>
        <w:tab/>
      </w:r>
      <w:r w:rsidRPr="00E659F2">
        <w:rPr>
          <w:i/>
        </w:rPr>
        <w:t>Academic appeals</w:t>
      </w:r>
      <w:r>
        <w:t xml:space="preserve"> for requests to explain or review the assessment decisions of assessment board or academic misconduct panel</w:t>
      </w:r>
      <w:r w:rsidR="00701E38">
        <w:t>.</w:t>
      </w:r>
    </w:p>
    <w:p w14:paraId="17885C32" w14:textId="77777777" w:rsidR="00701E38" w:rsidRDefault="00701E38" w:rsidP="00CA4CA1">
      <w:pPr>
        <w:spacing w:after="0" w:line="240" w:lineRule="auto"/>
        <w:ind w:left="426"/>
      </w:pPr>
      <w:r>
        <w:t xml:space="preserve">The latest versions of the aforementioned policies and procedures can be found at </w:t>
      </w:r>
      <w:r w:rsidR="00F367FB">
        <w:t xml:space="preserve">the University’s Key Information Page at </w:t>
      </w:r>
      <w:hyperlink r:id="rId12" w:history="1">
        <w:r w:rsidRPr="003051D1">
          <w:rPr>
            <w:rStyle w:val="Hyperlink"/>
          </w:rPr>
          <w:t>www.harper.ac.uk/keyinfo</w:t>
        </w:r>
      </w:hyperlink>
      <w:r>
        <w:t>.</w:t>
      </w:r>
    </w:p>
    <w:p w14:paraId="65459971" w14:textId="77777777" w:rsidR="009E528D" w:rsidRDefault="009E528D" w:rsidP="00CA4CA1">
      <w:pPr>
        <w:spacing w:after="0" w:line="240" w:lineRule="auto"/>
        <w:ind w:left="426"/>
      </w:pPr>
    </w:p>
    <w:p w14:paraId="3A1C757E" w14:textId="77777777" w:rsidR="00701E38" w:rsidRDefault="008D7C4E" w:rsidP="00C5124F">
      <w:pPr>
        <w:pStyle w:val="ListParagraph"/>
        <w:spacing w:after="0" w:line="240" w:lineRule="auto"/>
        <w:ind w:left="357" w:hanging="357"/>
      </w:pPr>
      <w:r>
        <w:t>5.</w:t>
      </w:r>
      <w:r>
        <w:tab/>
        <w:t>Advice on the operation of the complaints handling procedure or on the appropriate procedure to be followed in a specific set of circumstances can be sought from the Harper Adams University/</w:t>
      </w:r>
      <w:r w:rsidR="00B07771">
        <w:t>AMTRA Course Manage</w:t>
      </w:r>
      <w:r w:rsidR="00F146C1">
        <w:t>r</w:t>
      </w:r>
      <w:r>
        <w:t xml:space="preserve">, Dr </w:t>
      </w:r>
      <w:r w:rsidR="00B07771">
        <w:t>John Donaldson</w:t>
      </w:r>
      <w:r>
        <w:t xml:space="preserve"> (</w:t>
      </w:r>
      <w:hyperlink r:id="rId13" w:history="1">
        <w:r w:rsidR="00C715BF" w:rsidRPr="001006C9">
          <w:rPr>
            <w:rStyle w:val="Hyperlink"/>
          </w:rPr>
          <w:t>jdonaldson@harper-adams.ac.uk</w:t>
        </w:r>
      </w:hyperlink>
      <w:r>
        <w:t>).</w:t>
      </w:r>
    </w:p>
    <w:p w14:paraId="70D43CC2" w14:textId="77777777" w:rsidR="00C715BF" w:rsidRDefault="00C715BF" w:rsidP="00C5124F">
      <w:pPr>
        <w:pStyle w:val="ListParagraph"/>
        <w:spacing w:after="0" w:line="240" w:lineRule="auto"/>
        <w:ind w:left="357" w:hanging="357"/>
      </w:pPr>
    </w:p>
    <w:p w14:paraId="192BE473" w14:textId="77777777" w:rsidR="00CA4CA1" w:rsidRDefault="00C715BF" w:rsidP="007508D3">
      <w:pPr>
        <w:pStyle w:val="ListParagraph"/>
        <w:numPr>
          <w:ilvl w:val="0"/>
          <w:numId w:val="14"/>
        </w:numPr>
        <w:spacing w:after="0" w:line="240" w:lineRule="auto"/>
        <w:rPr>
          <w:u w:val="single"/>
        </w:rPr>
      </w:pPr>
      <w:r>
        <w:t xml:space="preserve">In consideration of any complaint, the AMTRA Secretary General may consult with any person </w:t>
      </w:r>
      <w:r w:rsidR="00B2529A">
        <w:t xml:space="preserve">he considers appropriate, including </w:t>
      </w:r>
      <w:r>
        <w:rPr>
          <w:rFonts w:eastAsia="Calibri" w:cs="Arial"/>
        </w:rPr>
        <w:t>Harper Adams</w:t>
      </w:r>
      <w:r w:rsidRPr="0058511D">
        <w:rPr>
          <w:rFonts w:eastAsia="Calibri" w:cs="Arial"/>
        </w:rPr>
        <w:t xml:space="preserve"> University’s Director of Learning and Teaching</w:t>
      </w:r>
      <w:r>
        <w:rPr>
          <w:rFonts w:eastAsia="Calibri" w:cs="Arial"/>
        </w:rPr>
        <w:t xml:space="preserve">, other members of Harper Adams staff, </w:t>
      </w:r>
      <w:r w:rsidR="00B2529A">
        <w:rPr>
          <w:rFonts w:eastAsia="Calibri" w:cs="Arial"/>
        </w:rPr>
        <w:t>and the AMTRA Chairman and Vice-Chairman.</w:t>
      </w:r>
      <w:r w:rsidR="00B2529A">
        <w:rPr>
          <w:rFonts w:eastAsia="Calibri" w:cs="Arial"/>
        </w:rPr>
        <w:br/>
        <w:t xml:space="preserve"> </w:t>
      </w:r>
      <w:bookmarkStart w:id="7" w:name="_Toc514666120"/>
    </w:p>
    <w:p w14:paraId="31ACB313" w14:textId="0A9EF141" w:rsidR="00193207" w:rsidRDefault="008F7D04" w:rsidP="002C156D">
      <w:pPr>
        <w:pStyle w:val="Heading1"/>
      </w:pPr>
      <w:bookmarkStart w:id="8" w:name="_Toc21525823"/>
      <w:r w:rsidRPr="002063F8">
        <w:t>Who can make a complaint?</w:t>
      </w:r>
      <w:bookmarkEnd w:id="7"/>
      <w:bookmarkEnd w:id="8"/>
    </w:p>
    <w:p w14:paraId="495EA49D" w14:textId="77777777" w:rsidR="008F7D04" w:rsidRDefault="00996906" w:rsidP="007508D3">
      <w:pPr>
        <w:pStyle w:val="ListParagraph"/>
        <w:numPr>
          <w:ilvl w:val="0"/>
          <w:numId w:val="14"/>
        </w:numPr>
        <w:spacing w:after="0" w:line="240" w:lineRule="auto"/>
      </w:pPr>
      <w:r>
        <w:t>Th</w:t>
      </w:r>
      <w:r w:rsidR="00781614">
        <w:t>is</w:t>
      </w:r>
      <w:r>
        <w:t xml:space="preserve"> complaints procedure covers complaints about a </w:t>
      </w:r>
      <w:r w:rsidR="00781614">
        <w:t>student SQP</w:t>
      </w:r>
      <w:r>
        <w:t xml:space="preserve">’s experience during their time registered with </w:t>
      </w:r>
      <w:r w:rsidR="00CA3B34">
        <w:t>AMTRA</w:t>
      </w:r>
      <w:r>
        <w:t xml:space="preserve">. </w:t>
      </w:r>
      <w:r w:rsidR="008F7D04">
        <w:t xml:space="preserve">Only </w:t>
      </w:r>
      <w:r w:rsidR="00781614">
        <w:t>student SQP</w:t>
      </w:r>
      <w:r w:rsidR="00193207">
        <w:t>s</w:t>
      </w:r>
      <w:r w:rsidR="008F7D04">
        <w:t xml:space="preserve"> registered </w:t>
      </w:r>
      <w:r w:rsidR="00781614">
        <w:t>with AMTRA</w:t>
      </w:r>
      <w:r>
        <w:t>,</w:t>
      </w:r>
      <w:r w:rsidR="00193207">
        <w:t xml:space="preserve"> </w:t>
      </w:r>
      <w:r w:rsidR="008F7D04">
        <w:t xml:space="preserve">or those who have recently </w:t>
      </w:r>
      <w:r w:rsidR="00781614">
        <w:t>become qualified AMTRA SQPs</w:t>
      </w:r>
      <w:r w:rsidR="008F7D04">
        <w:t xml:space="preserve"> may make a complaint</w:t>
      </w:r>
      <w:r>
        <w:t>, within the timescales set out herein.</w:t>
      </w:r>
      <w:r w:rsidR="006B7CE3">
        <w:t xml:space="preserve"> </w:t>
      </w:r>
    </w:p>
    <w:p w14:paraId="4EDDE42A" w14:textId="77777777" w:rsidR="00193207" w:rsidRDefault="00193207" w:rsidP="00193207">
      <w:pPr>
        <w:spacing w:after="0" w:line="240" w:lineRule="auto"/>
      </w:pPr>
    </w:p>
    <w:p w14:paraId="23ACF322" w14:textId="2EC9B12E" w:rsidR="00193207" w:rsidRDefault="008F7D04" w:rsidP="002C156D">
      <w:pPr>
        <w:pStyle w:val="Heading1"/>
      </w:pPr>
      <w:bookmarkStart w:id="9" w:name="_Toc514666121"/>
      <w:bookmarkStart w:id="10" w:name="_Toc21525824"/>
      <w:r w:rsidRPr="00193207">
        <w:t>Collective Complaints</w:t>
      </w:r>
      <w:bookmarkEnd w:id="9"/>
      <w:bookmarkEnd w:id="10"/>
    </w:p>
    <w:p w14:paraId="3CF826C2" w14:textId="77777777" w:rsidR="008F7D04" w:rsidRDefault="008F7D04" w:rsidP="007508D3">
      <w:pPr>
        <w:pStyle w:val="ListParagraph"/>
        <w:numPr>
          <w:ilvl w:val="0"/>
          <w:numId w:val="14"/>
        </w:numPr>
        <w:spacing w:after="0" w:line="240" w:lineRule="auto"/>
      </w:pPr>
      <w:r>
        <w:t xml:space="preserve">The normal expectation is that </w:t>
      </w:r>
      <w:r w:rsidR="00781614">
        <w:t>student SQP</w:t>
      </w:r>
      <w:r>
        <w:t>s will submit a complaint which relates to their own experience only. If a service is</w:t>
      </w:r>
      <w:r w:rsidR="00370CD6">
        <w:t xml:space="preserve"> deemed to have failed several </w:t>
      </w:r>
      <w:r w:rsidR="00781614">
        <w:t>student SQP</w:t>
      </w:r>
      <w:r w:rsidR="00370CD6">
        <w:t>s</w:t>
      </w:r>
      <w:r>
        <w:t>, a collective complaint can be submitted by a nominated individual. All correspondence</w:t>
      </w:r>
      <w:r w:rsidR="00A00025">
        <w:t>,</w:t>
      </w:r>
      <w:r>
        <w:t xml:space="preserve"> including the final outcome</w:t>
      </w:r>
      <w:r w:rsidR="00A00025">
        <w:t>,</w:t>
      </w:r>
      <w:r>
        <w:t xml:space="preserve"> will be directed through this individual.</w:t>
      </w:r>
    </w:p>
    <w:p w14:paraId="16F3BE4A" w14:textId="77777777" w:rsidR="00193207" w:rsidRDefault="00193207" w:rsidP="00193207">
      <w:pPr>
        <w:spacing w:after="0" w:line="240" w:lineRule="auto"/>
      </w:pPr>
    </w:p>
    <w:p w14:paraId="37C28FAD" w14:textId="24716F5B" w:rsidR="00193207" w:rsidRDefault="00193207" w:rsidP="002C156D">
      <w:pPr>
        <w:pStyle w:val="Heading1"/>
      </w:pPr>
      <w:bookmarkStart w:id="11" w:name="_Toc514666122"/>
      <w:bookmarkStart w:id="12" w:name="_Toc21525825"/>
      <w:r w:rsidRPr="00193207">
        <w:t>Frivolous or vexatious complaints</w:t>
      </w:r>
      <w:bookmarkEnd w:id="11"/>
      <w:bookmarkEnd w:id="12"/>
    </w:p>
    <w:p w14:paraId="3E0EC1EE" w14:textId="77777777" w:rsidR="00193207" w:rsidRDefault="00C11126" w:rsidP="007508D3">
      <w:pPr>
        <w:pStyle w:val="ListParagraph"/>
        <w:numPr>
          <w:ilvl w:val="0"/>
          <w:numId w:val="14"/>
        </w:numPr>
        <w:tabs>
          <w:tab w:val="left" w:pos="0"/>
          <w:tab w:val="left" w:pos="142"/>
        </w:tabs>
        <w:spacing w:after="0" w:line="240" w:lineRule="auto"/>
        <w:rPr>
          <w:rFonts w:eastAsia="Calibri" w:cs="Arial"/>
        </w:rPr>
      </w:pPr>
      <w:r>
        <w:rPr>
          <w:rFonts w:eastAsia="Calibri" w:cs="Arial"/>
        </w:rPr>
        <w:t xml:space="preserve">AMTRA </w:t>
      </w:r>
      <w:r w:rsidR="00193207" w:rsidRPr="00252F96">
        <w:rPr>
          <w:rFonts w:eastAsia="Calibri" w:cs="Arial"/>
        </w:rPr>
        <w:t>may reject a complaint at any time if, in the opinion of the</w:t>
      </w:r>
      <w:r w:rsidR="008D7C4E">
        <w:rPr>
          <w:rFonts w:eastAsia="Calibri" w:cs="Arial"/>
        </w:rPr>
        <w:t xml:space="preserve"> </w:t>
      </w:r>
      <w:r>
        <w:rPr>
          <w:rFonts w:eastAsia="Calibri" w:cs="Arial"/>
        </w:rPr>
        <w:t xml:space="preserve">AMTRA </w:t>
      </w:r>
      <w:r w:rsidR="009E528D">
        <w:rPr>
          <w:rFonts w:eastAsia="Calibri" w:cs="Arial"/>
        </w:rPr>
        <w:t>Secretary General</w:t>
      </w:r>
      <w:r w:rsidR="006B7CE3">
        <w:rPr>
          <w:rFonts w:eastAsia="Calibri" w:cs="Arial"/>
        </w:rPr>
        <w:t xml:space="preserve">, </w:t>
      </w:r>
      <w:r w:rsidR="00F566A5">
        <w:rPr>
          <w:rFonts w:eastAsia="Calibri" w:cs="Arial"/>
        </w:rPr>
        <w:t xml:space="preserve">or </w:t>
      </w:r>
      <w:r w:rsidR="00CA4CA1">
        <w:rPr>
          <w:rFonts w:eastAsia="Calibri" w:cs="Arial"/>
        </w:rPr>
        <w:t xml:space="preserve">their </w:t>
      </w:r>
      <w:r w:rsidR="00F566A5">
        <w:rPr>
          <w:rFonts w:eastAsia="Calibri" w:cs="Arial"/>
        </w:rPr>
        <w:t xml:space="preserve">nominee, </w:t>
      </w:r>
      <w:r w:rsidR="00193207" w:rsidRPr="00252F96">
        <w:rPr>
          <w:rFonts w:eastAsia="Calibri" w:cs="Arial"/>
        </w:rPr>
        <w:t>the complaint is frivolous or vexatious.</w:t>
      </w:r>
    </w:p>
    <w:p w14:paraId="57329862" w14:textId="77777777" w:rsidR="0058511D" w:rsidRDefault="0058511D" w:rsidP="0058511D">
      <w:pPr>
        <w:pStyle w:val="ListParagraph"/>
        <w:spacing w:after="0" w:line="240" w:lineRule="auto"/>
      </w:pPr>
    </w:p>
    <w:p w14:paraId="4B0CC809" w14:textId="77777777" w:rsidR="00193207" w:rsidRDefault="0058511D" w:rsidP="007508D3">
      <w:pPr>
        <w:pStyle w:val="ListParagraph"/>
        <w:numPr>
          <w:ilvl w:val="0"/>
          <w:numId w:val="14"/>
        </w:numPr>
        <w:spacing w:after="0" w:line="240" w:lineRule="auto"/>
      </w:pPr>
      <w:r>
        <w:t>A frivolous or vexatious complaint can be characterised in a number of ways:</w:t>
      </w:r>
    </w:p>
    <w:p w14:paraId="4462D258" w14:textId="77777777" w:rsidR="0058511D" w:rsidRDefault="0058511D" w:rsidP="0058511D">
      <w:pPr>
        <w:pStyle w:val="ListParagraph"/>
        <w:numPr>
          <w:ilvl w:val="0"/>
          <w:numId w:val="8"/>
        </w:numPr>
        <w:spacing w:after="0" w:line="240" w:lineRule="auto"/>
      </w:pPr>
      <w:r>
        <w:t xml:space="preserve">Complaints which are obsessive, persistent, harassing, prolific, repetitious; </w:t>
      </w:r>
    </w:p>
    <w:p w14:paraId="1E2C41FA" w14:textId="77777777" w:rsidR="0058511D" w:rsidRDefault="0058511D" w:rsidP="0058511D">
      <w:pPr>
        <w:pStyle w:val="ListParagraph"/>
        <w:numPr>
          <w:ilvl w:val="0"/>
          <w:numId w:val="8"/>
        </w:numPr>
        <w:spacing w:after="0" w:line="240" w:lineRule="auto"/>
      </w:pPr>
      <w:r>
        <w:t>Insistence upon pursuing unmeritorious complaints and/or unrealistic outcomes beyond all reason;</w:t>
      </w:r>
    </w:p>
    <w:p w14:paraId="22EBDCA7" w14:textId="77777777" w:rsidR="0058511D" w:rsidRDefault="0058511D" w:rsidP="0058511D">
      <w:pPr>
        <w:pStyle w:val="ListParagraph"/>
        <w:numPr>
          <w:ilvl w:val="0"/>
          <w:numId w:val="8"/>
        </w:numPr>
        <w:spacing w:after="0" w:line="240" w:lineRule="auto"/>
      </w:pPr>
      <w:r>
        <w:t>Insistence upon pursuing potentially meritorious complaints in an unreasonable manner;</w:t>
      </w:r>
    </w:p>
    <w:p w14:paraId="4D7CBB6C" w14:textId="77777777" w:rsidR="0058511D" w:rsidRDefault="0058511D" w:rsidP="0058511D">
      <w:pPr>
        <w:pStyle w:val="ListParagraph"/>
        <w:numPr>
          <w:ilvl w:val="0"/>
          <w:numId w:val="8"/>
        </w:numPr>
        <w:spacing w:after="0" w:line="240" w:lineRule="auto"/>
      </w:pPr>
      <w:r>
        <w:t>Complaints which are designed to cause disruption or annoyance;</w:t>
      </w:r>
    </w:p>
    <w:p w14:paraId="452F0662" w14:textId="77777777" w:rsidR="0058511D" w:rsidRDefault="0058511D" w:rsidP="0058511D">
      <w:pPr>
        <w:pStyle w:val="ListParagraph"/>
        <w:numPr>
          <w:ilvl w:val="0"/>
          <w:numId w:val="8"/>
        </w:numPr>
        <w:spacing w:after="0" w:line="240" w:lineRule="auto"/>
      </w:pPr>
      <w:r>
        <w:t>Demands for redress which lack any serious purpose or value.</w:t>
      </w:r>
    </w:p>
    <w:p w14:paraId="3814C9E0" w14:textId="77777777" w:rsidR="0058511D" w:rsidRDefault="0058511D" w:rsidP="0058511D">
      <w:pPr>
        <w:pStyle w:val="ListParagraph"/>
        <w:tabs>
          <w:tab w:val="left" w:pos="0"/>
          <w:tab w:val="left" w:pos="142"/>
        </w:tabs>
        <w:spacing w:after="0" w:line="240" w:lineRule="auto"/>
        <w:ind w:left="360"/>
        <w:rPr>
          <w:rFonts w:eastAsia="Calibri" w:cs="Arial"/>
        </w:rPr>
      </w:pPr>
    </w:p>
    <w:p w14:paraId="337FC2B3" w14:textId="2F09C258" w:rsidR="0058511D" w:rsidRPr="002C156D" w:rsidRDefault="0058511D" w:rsidP="002C156D">
      <w:pPr>
        <w:pStyle w:val="Heading1"/>
      </w:pPr>
      <w:bookmarkStart w:id="13" w:name="_Toc514666123"/>
      <w:bookmarkStart w:id="14" w:name="_Toc21525826"/>
      <w:r w:rsidRPr="0058511D">
        <w:t>Anonymous complaints</w:t>
      </w:r>
      <w:bookmarkEnd w:id="13"/>
      <w:bookmarkEnd w:id="14"/>
    </w:p>
    <w:p w14:paraId="475D2AB0" w14:textId="77777777" w:rsidR="00BC67FB" w:rsidRPr="00252F96" w:rsidRDefault="00BC67FB" w:rsidP="007508D3">
      <w:pPr>
        <w:pStyle w:val="ListParagraph"/>
        <w:numPr>
          <w:ilvl w:val="0"/>
          <w:numId w:val="14"/>
        </w:numPr>
        <w:spacing w:after="0" w:line="240" w:lineRule="auto"/>
        <w:rPr>
          <w:rFonts w:cs="Arial"/>
        </w:rPr>
      </w:pPr>
      <w:r w:rsidRPr="00252F96">
        <w:rPr>
          <w:rFonts w:cs="Arial"/>
        </w:rPr>
        <w:t xml:space="preserve">Complaints submitted anonymously will not normally be considered. If, however, an anonymous complaint presents compelling evidence which supports the need for investigation, </w:t>
      </w:r>
      <w:r w:rsidR="00C11126">
        <w:rPr>
          <w:rFonts w:cs="Arial"/>
        </w:rPr>
        <w:t>AMTRA</w:t>
      </w:r>
      <w:r>
        <w:rPr>
          <w:rFonts w:cs="Arial"/>
        </w:rPr>
        <w:t xml:space="preserve"> </w:t>
      </w:r>
      <w:r w:rsidRPr="00252F96">
        <w:rPr>
          <w:rFonts w:cs="Arial"/>
        </w:rPr>
        <w:t xml:space="preserve">may give consideration to the issues raised, and will record the complaint so that corrective action can be taken as appropriate.  The </w:t>
      </w:r>
      <w:r w:rsidR="009E528D">
        <w:rPr>
          <w:rFonts w:cs="Arial"/>
        </w:rPr>
        <w:t>AMTRA Secretary General</w:t>
      </w:r>
      <w:r>
        <w:rPr>
          <w:rFonts w:cs="Arial"/>
        </w:rPr>
        <w:t>, or nominee,</w:t>
      </w:r>
      <w:r w:rsidRPr="00252F96">
        <w:rPr>
          <w:rFonts w:cs="Arial"/>
        </w:rPr>
        <w:t xml:space="preserve"> will review anonymous complaints</w:t>
      </w:r>
      <w:r>
        <w:rPr>
          <w:rFonts w:cs="Arial"/>
        </w:rPr>
        <w:t xml:space="preserve"> </w:t>
      </w:r>
      <w:r w:rsidRPr="00252F96">
        <w:rPr>
          <w:rFonts w:cs="Arial"/>
        </w:rPr>
        <w:t>in deciding whether they will be investigated further. No correspondence will be entered into with an anonymous complain</w:t>
      </w:r>
      <w:r>
        <w:rPr>
          <w:rFonts w:cs="Arial"/>
        </w:rPr>
        <w:t>an</w:t>
      </w:r>
      <w:r w:rsidRPr="00252F96">
        <w:rPr>
          <w:rFonts w:cs="Arial"/>
        </w:rPr>
        <w:t xml:space="preserve">t, including acknowledgment of receipt of the complaint.  </w:t>
      </w:r>
    </w:p>
    <w:p w14:paraId="5C3B7DB9" w14:textId="77777777" w:rsidR="0058511D" w:rsidRDefault="0058511D" w:rsidP="0062484A">
      <w:pPr>
        <w:pStyle w:val="ListParagraph"/>
        <w:spacing w:after="0" w:line="240" w:lineRule="auto"/>
        <w:ind w:left="360"/>
      </w:pPr>
    </w:p>
    <w:p w14:paraId="71530F9A" w14:textId="77777777" w:rsidR="0058511D" w:rsidRPr="0058511D" w:rsidRDefault="0058511D" w:rsidP="00A74814">
      <w:pPr>
        <w:pStyle w:val="Heading1"/>
      </w:pPr>
      <w:bookmarkStart w:id="15" w:name="_Toc514666124"/>
      <w:bookmarkStart w:id="16" w:name="_Toc21525827"/>
      <w:r w:rsidRPr="0058511D">
        <w:t>Unacceptable behaviour</w:t>
      </w:r>
      <w:bookmarkEnd w:id="15"/>
      <w:bookmarkEnd w:id="16"/>
    </w:p>
    <w:p w14:paraId="3DBCDE31" w14:textId="77777777" w:rsidR="00FA69EE" w:rsidRDefault="00C11126" w:rsidP="00FA69EE">
      <w:pPr>
        <w:pStyle w:val="ListParagraph"/>
        <w:numPr>
          <w:ilvl w:val="0"/>
          <w:numId w:val="14"/>
        </w:numPr>
        <w:spacing w:after="0" w:line="240" w:lineRule="auto"/>
      </w:pPr>
      <w:r>
        <w:t xml:space="preserve">AMTRA </w:t>
      </w:r>
      <w:r w:rsidR="0058511D" w:rsidRPr="0058511D">
        <w:t xml:space="preserve">is committed to providing a fair, consistent and accessible service for all </w:t>
      </w:r>
      <w:r w:rsidR="00781614">
        <w:t>student SQP</w:t>
      </w:r>
      <w:r w:rsidR="00370CD6">
        <w:t>s</w:t>
      </w:r>
      <w:r w:rsidR="0058511D" w:rsidRPr="0058511D">
        <w:t xml:space="preserve">. However, </w:t>
      </w:r>
      <w:r>
        <w:t xml:space="preserve">AMTRA </w:t>
      </w:r>
      <w:r w:rsidR="0058511D" w:rsidRPr="0058511D">
        <w:t xml:space="preserve">must also provide a safe working environment for staff, and ensure that work is undertaken in an efficient and effective manner. Whilst all </w:t>
      </w:r>
      <w:r w:rsidR="00781614">
        <w:t>student SQP</w:t>
      </w:r>
      <w:r w:rsidR="00370CD6">
        <w:t>s</w:t>
      </w:r>
      <w:r w:rsidR="0058511D" w:rsidRPr="0058511D">
        <w:t xml:space="preserve"> have the right to be heard, understood and respected, staff have the same rights.  The actions of complainants, or their nominated representative, who are angry, demanding, or persistent may result in unreasonable demands on, or unacceptable behaviour towards, staff. It is these actions or behaviour that is considered unacceptable and </w:t>
      </w:r>
      <w:r w:rsidR="00C715BF">
        <w:t xml:space="preserve">we </w:t>
      </w:r>
      <w:r w:rsidR="0058511D" w:rsidRPr="0058511D">
        <w:t>aim to manage under this guidance. These behaviours are set out below:</w:t>
      </w:r>
    </w:p>
    <w:p w14:paraId="4ACF43D5" w14:textId="73B7AE15" w:rsidR="00CA4CA1" w:rsidRDefault="00CA4CA1" w:rsidP="00AC5479">
      <w:pPr>
        <w:pStyle w:val="ListParagraph"/>
        <w:spacing w:after="0" w:line="240" w:lineRule="auto"/>
        <w:ind w:left="360"/>
      </w:pPr>
    </w:p>
    <w:p w14:paraId="0C6A2CA1" w14:textId="77777777" w:rsidR="0058511D" w:rsidRPr="00252F96" w:rsidRDefault="0058511D" w:rsidP="0058511D">
      <w:pPr>
        <w:pStyle w:val="ListParagraph"/>
        <w:numPr>
          <w:ilvl w:val="0"/>
          <w:numId w:val="9"/>
        </w:numPr>
        <w:spacing w:after="0" w:line="240" w:lineRule="auto"/>
        <w:rPr>
          <w:rFonts w:eastAsia="Calibri" w:cs="Arial"/>
          <w:b/>
        </w:rPr>
      </w:pPr>
      <w:r w:rsidRPr="00252F96">
        <w:rPr>
          <w:rFonts w:eastAsia="Calibri" w:cs="Arial"/>
          <w:b/>
        </w:rPr>
        <w:t>Aggressive, offensive or abusive actions or behaviour</w:t>
      </w:r>
    </w:p>
    <w:p w14:paraId="603EE5B1" w14:textId="77777777" w:rsidR="0058511D" w:rsidRDefault="0058511D" w:rsidP="0058511D">
      <w:pPr>
        <w:spacing w:after="0" w:line="240" w:lineRule="auto"/>
        <w:ind w:left="720"/>
        <w:rPr>
          <w:rFonts w:eastAsia="Calibri" w:cs="Arial"/>
        </w:rPr>
      </w:pPr>
      <w:r w:rsidRPr="00252F96">
        <w:rPr>
          <w:rFonts w:eastAsia="Calibri" w:cs="Arial"/>
        </w:rPr>
        <w:t xml:space="preserve">Examples of actions or behaviour grouped under this heading include any actions or behaviour that may have the potential to cause staff to feel intimidated, threatened or offended. These include, but are not limited to: threats, physical violence, personal verbal abuse, derogatory remarks, </w:t>
      </w:r>
      <w:r>
        <w:rPr>
          <w:rFonts w:eastAsia="Calibri" w:cs="Arial"/>
        </w:rPr>
        <w:t xml:space="preserve">sarcasm </w:t>
      </w:r>
      <w:r w:rsidRPr="00252F96">
        <w:rPr>
          <w:rFonts w:eastAsia="Calibri" w:cs="Arial"/>
        </w:rPr>
        <w:t>and rudeness. Inflammatory statements and unsubstantiated allegations can amount to abusive actions or behaviour.  Violence is not restricted to acts of aggression that may result in physical harm. It also includes behaviour or language, whether oral or written, that may cause staff to feel afraid, threatened or abused.</w:t>
      </w:r>
    </w:p>
    <w:p w14:paraId="67FEA2E5" w14:textId="77777777" w:rsidR="0058511D" w:rsidRDefault="0058511D" w:rsidP="0058511D">
      <w:pPr>
        <w:spacing w:after="0" w:line="240" w:lineRule="auto"/>
        <w:ind w:left="720"/>
        <w:rPr>
          <w:rFonts w:eastAsia="Calibri" w:cs="Arial"/>
        </w:rPr>
      </w:pPr>
    </w:p>
    <w:p w14:paraId="2EBC251A" w14:textId="77777777" w:rsidR="0058511D" w:rsidRPr="0058511D" w:rsidRDefault="0058511D" w:rsidP="0058511D">
      <w:pPr>
        <w:pStyle w:val="ListParagraph"/>
        <w:numPr>
          <w:ilvl w:val="0"/>
          <w:numId w:val="9"/>
        </w:numPr>
        <w:spacing w:after="0" w:line="240" w:lineRule="auto"/>
        <w:rPr>
          <w:rFonts w:eastAsia="Calibri" w:cs="Arial"/>
          <w:b/>
        </w:rPr>
      </w:pPr>
      <w:r w:rsidRPr="0058511D">
        <w:rPr>
          <w:rFonts w:eastAsia="Calibri" w:cs="Arial"/>
          <w:b/>
        </w:rPr>
        <w:tab/>
        <w:t>Unreasonable demands or persistence</w:t>
      </w:r>
    </w:p>
    <w:p w14:paraId="02E81E3B" w14:textId="77777777" w:rsidR="0058511D" w:rsidRPr="0058511D" w:rsidRDefault="0058511D" w:rsidP="0058511D">
      <w:pPr>
        <w:spacing w:after="0" w:line="240" w:lineRule="auto"/>
        <w:ind w:left="720"/>
        <w:rPr>
          <w:rFonts w:eastAsia="Calibri" w:cs="Arial"/>
        </w:rPr>
      </w:pPr>
      <w:r w:rsidRPr="0058511D">
        <w:rPr>
          <w:rFonts w:eastAsia="Calibri" w:cs="Arial"/>
        </w:rPr>
        <w:t xml:space="preserve">Examples of unreasonable demands may include: requesting responses within an unreasonable timescale; insisting on seeing or speaking to a particular member of staff; continual phone calls, emails, or letters; demanding answers to an unreasonable, or an excessive number of, questions about the way in which staff would normally discharge their responsibilities or seeking their personal opinions on matters; repeatedly changing the substance of an appeal, or raising unrelated concerns. </w:t>
      </w:r>
    </w:p>
    <w:p w14:paraId="1DDC715C" w14:textId="77777777" w:rsidR="0058511D" w:rsidRPr="0058511D" w:rsidRDefault="0058511D" w:rsidP="0058511D">
      <w:pPr>
        <w:spacing w:after="0" w:line="240" w:lineRule="auto"/>
        <w:ind w:left="720"/>
        <w:rPr>
          <w:rFonts w:eastAsia="Calibri" w:cs="Arial"/>
        </w:rPr>
      </w:pPr>
    </w:p>
    <w:p w14:paraId="2CF5AB8B" w14:textId="77777777" w:rsidR="0058511D" w:rsidRPr="00252F96" w:rsidRDefault="0058511D" w:rsidP="0058511D">
      <w:pPr>
        <w:spacing w:after="0" w:line="240" w:lineRule="auto"/>
        <w:ind w:left="720"/>
        <w:rPr>
          <w:rFonts w:eastAsia="Calibri" w:cs="Arial"/>
        </w:rPr>
      </w:pPr>
      <w:r w:rsidRPr="0058511D">
        <w:rPr>
          <w:rFonts w:eastAsia="Calibri" w:cs="Arial"/>
        </w:rPr>
        <w:t xml:space="preserve">When the actions or behaviour of a complainant or their representative is unacceptable they will be told why it is unacceptable and given the opportunity to modify their actions or behaviour. If the unacceptable actions or behaviour continue, </w:t>
      </w:r>
      <w:r w:rsidR="00B31971">
        <w:rPr>
          <w:rFonts w:eastAsia="Calibri" w:cs="Arial"/>
        </w:rPr>
        <w:t xml:space="preserve">AMTRA </w:t>
      </w:r>
      <w:r w:rsidRPr="0058511D">
        <w:rPr>
          <w:rFonts w:eastAsia="Calibri" w:cs="Arial"/>
        </w:rPr>
        <w:t xml:space="preserve">will take appropriate measures, including terminating consideration of their complaint </w:t>
      </w:r>
      <w:r w:rsidR="00455ABF">
        <w:rPr>
          <w:rFonts w:eastAsia="Calibri" w:cs="Arial"/>
        </w:rPr>
        <w:t>issu</w:t>
      </w:r>
      <w:r w:rsidR="00B2529A">
        <w:rPr>
          <w:rFonts w:eastAsia="Calibri" w:cs="Arial"/>
        </w:rPr>
        <w:t xml:space="preserve">ing </w:t>
      </w:r>
      <w:r w:rsidRPr="0058511D">
        <w:rPr>
          <w:rFonts w:eastAsia="Calibri" w:cs="Arial"/>
        </w:rPr>
        <w:t>a Completion of Procedures letter.</w:t>
      </w:r>
    </w:p>
    <w:p w14:paraId="67C2CB29" w14:textId="77777777" w:rsidR="0058511D" w:rsidRDefault="0058511D" w:rsidP="0058511D">
      <w:pPr>
        <w:tabs>
          <w:tab w:val="left" w:pos="1185"/>
        </w:tabs>
        <w:spacing w:after="0" w:line="240" w:lineRule="auto"/>
      </w:pPr>
    </w:p>
    <w:p w14:paraId="36F8D1AA" w14:textId="41ED720B" w:rsidR="00E30434" w:rsidRDefault="00E30434" w:rsidP="007508D3">
      <w:pPr>
        <w:pStyle w:val="ListParagraph"/>
        <w:numPr>
          <w:ilvl w:val="0"/>
          <w:numId w:val="14"/>
        </w:numPr>
        <w:tabs>
          <w:tab w:val="left" w:pos="0"/>
          <w:tab w:val="left" w:pos="142"/>
        </w:tabs>
        <w:spacing w:after="0" w:line="240" w:lineRule="auto"/>
        <w:rPr>
          <w:rFonts w:eastAsia="Calibri" w:cs="Arial"/>
        </w:rPr>
      </w:pPr>
      <w:r w:rsidRPr="0058511D">
        <w:rPr>
          <w:rFonts w:eastAsia="Calibri" w:cs="Arial"/>
        </w:rPr>
        <w:t xml:space="preserve">If a </w:t>
      </w:r>
      <w:r w:rsidR="00781614">
        <w:rPr>
          <w:rFonts w:eastAsia="Calibri" w:cs="Arial"/>
        </w:rPr>
        <w:t>student SQP</w:t>
      </w:r>
      <w:r w:rsidRPr="0058511D">
        <w:rPr>
          <w:rFonts w:eastAsia="Calibri" w:cs="Arial"/>
        </w:rPr>
        <w:t>’s complaint is considered frivolous or vexatious,</w:t>
      </w:r>
      <w:r>
        <w:rPr>
          <w:rFonts w:eastAsia="Calibri" w:cs="Arial"/>
        </w:rPr>
        <w:t xml:space="preserve"> or if the complainant’s behaviour is unreasonable, </w:t>
      </w:r>
      <w:r w:rsidRPr="0058511D">
        <w:rPr>
          <w:rFonts w:eastAsia="Calibri" w:cs="Arial"/>
        </w:rPr>
        <w:t xml:space="preserve">the </w:t>
      </w:r>
      <w:r w:rsidR="00C715BF">
        <w:rPr>
          <w:rFonts w:eastAsia="Calibri" w:cs="Arial"/>
        </w:rPr>
        <w:t>AMTRA Secretary General</w:t>
      </w:r>
      <w:r w:rsidRPr="0058511D">
        <w:rPr>
          <w:rFonts w:eastAsia="Calibri" w:cs="Arial"/>
        </w:rPr>
        <w:t xml:space="preserve"> will write to the </w:t>
      </w:r>
      <w:r w:rsidR="00781614">
        <w:rPr>
          <w:rFonts w:eastAsia="Calibri" w:cs="Arial"/>
        </w:rPr>
        <w:t>student SQP</w:t>
      </w:r>
      <w:r w:rsidRPr="0058511D">
        <w:rPr>
          <w:rFonts w:eastAsia="Calibri" w:cs="Arial"/>
        </w:rPr>
        <w:t xml:space="preserve"> explaining that</w:t>
      </w:r>
      <w:r w:rsidR="00B31971">
        <w:rPr>
          <w:rFonts w:eastAsia="Calibri" w:cs="Arial"/>
        </w:rPr>
        <w:t xml:space="preserve"> AMTRA </w:t>
      </w:r>
      <w:r w:rsidRPr="0058511D">
        <w:rPr>
          <w:rFonts w:eastAsia="Calibri" w:cs="Arial"/>
        </w:rPr>
        <w:t>is terminating further consideration of the complaint, setting out the reasons for doing so, and</w:t>
      </w:r>
      <w:r w:rsidR="008B381E">
        <w:rPr>
          <w:rFonts w:eastAsia="Calibri" w:cs="Arial"/>
        </w:rPr>
        <w:t xml:space="preserve">, in liaison with Harper Adams University, request that Harper Adams University </w:t>
      </w:r>
      <w:r w:rsidRPr="0058511D">
        <w:rPr>
          <w:rFonts w:eastAsia="Calibri" w:cs="Arial"/>
        </w:rPr>
        <w:t>issue</w:t>
      </w:r>
      <w:r w:rsidR="008B381E">
        <w:rPr>
          <w:rFonts w:eastAsia="Calibri" w:cs="Arial"/>
        </w:rPr>
        <w:t>s</w:t>
      </w:r>
      <w:r w:rsidRPr="0058511D">
        <w:rPr>
          <w:rFonts w:eastAsia="Calibri" w:cs="Arial"/>
        </w:rPr>
        <w:t xml:space="preserve"> a Completion of Procedures letter.  </w:t>
      </w:r>
    </w:p>
    <w:p w14:paraId="02904492" w14:textId="77777777" w:rsidR="00E30434" w:rsidRDefault="00E30434" w:rsidP="0058511D">
      <w:pPr>
        <w:tabs>
          <w:tab w:val="left" w:pos="1185"/>
        </w:tabs>
        <w:spacing w:after="0" w:line="240" w:lineRule="auto"/>
      </w:pPr>
    </w:p>
    <w:p w14:paraId="73A35866" w14:textId="77777777" w:rsidR="0058511D" w:rsidRPr="00753D6B" w:rsidRDefault="00753D6B" w:rsidP="00A74814">
      <w:pPr>
        <w:pStyle w:val="Heading1"/>
      </w:pPr>
      <w:bookmarkStart w:id="17" w:name="_Toc514666125"/>
      <w:bookmarkStart w:id="18" w:name="_Toc21525828"/>
      <w:r w:rsidRPr="00753D6B">
        <w:t>Time limit for making complaints</w:t>
      </w:r>
      <w:bookmarkEnd w:id="17"/>
      <w:bookmarkEnd w:id="18"/>
    </w:p>
    <w:p w14:paraId="2E5DB86A" w14:textId="77777777" w:rsidR="00753D6B" w:rsidRDefault="00753D6B" w:rsidP="007508D3">
      <w:pPr>
        <w:pStyle w:val="ListParagraph"/>
        <w:numPr>
          <w:ilvl w:val="0"/>
          <w:numId w:val="14"/>
        </w:numPr>
        <w:spacing w:after="0" w:line="240" w:lineRule="auto"/>
      </w:pPr>
      <w:r w:rsidRPr="00753D6B">
        <w:t xml:space="preserve">Complaints should be raised with </w:t>
      </w:r>
      <w:r w:rsidR="00B31971">
        <w:t xml:space="preserve">AMTRA </w:t>
      </w:r>
      <w:r w:rsidRPr="00753D6B">
        <w:t xml:space="preserve">as soon as problems arise to enable prompt investigation and swift resolution.  This complaints procedure sets a time limit of 28 </w:t>
      </w:r>
      <w:r w:rsidR="00581963">
        <w:t>calendar</w:t>
      </w:r>
      <w:r w:rsidR="00581963" w:rsidRPr="00753D6B">
        <w:t xml:space="preserve"> days</w:t>
      </w:r>
      <w:r w:rsidRPr="00753D6B">
        <w:t xml:space="preserve"> to raise a complaint with</w:t>
      </w:r>
      <w:r w:rsidR="00B31971">
        <w:t xml:space="preserve"> AMTRA</w:t>
      </w:r>
      <w:r w:rsidRPr="00753D6B">
        <w:t>, starting from when the complainant first became aware of the problem, unless there are special circumstances for requesting consideration of a complaint beyond this time.</w:t>
      </w:r>
    </w:p>
    <w:p w14:paraId="5C788955" w14:textId="77777777" w:rsidR="00753D6B" w:rsidRPr="00753D6B" w:rsidRDefault="00753D6B" w:rsidP="00753D6B">
      <w:pPr>
        <w:pStyle w:val="ListParagraph"/>
        <w:spacing w:after="0" w:line="240" w:lineRule="auto"/>
        <w:ind w:left="357"/>
      </w:pPr>
    </w:p>
    <w:p w14:paraId="17395F05" w14:textId="77777777" w:rsidR="00753D6B" w:rsidRDefault="00753D6B" w:rsidP="007508D3">
      <w:pPr>
        <w:pStyle w:val="ListParagraph"/>
        <w:numPr>
          <w:ilvl w:val="0"/>
          <w:numId w:val="14"/>
        </w:numPr>
        <w:spacing w:after="0" w:line="240" w:lineRule="auto"/>
      </w:pPr>
      <w:r w:rsidRPr="00753D6B">
        <w:t xml:space="preserve">Beyond the 28 day time limit, any discretion in the way that the time limit is applied must be agreed </w:t>
      </w:r>
      <w:r w:rsidRPr="00E30434">
        <w:t xml:space="preserve">with </w:t>
      </w:r>
      <w:r w:rsidRPr="0062484A">
        <w:t xml:space="preserve">the </w:t>
      </w:r>
      <w:r w:rsidR="00E54ED4">
        <w:t>AMTRA Secretary General</w:t>
      </w:r>
      <w:r w:rsidRPr="0062484A">
        <w:t>, or nominee</w:t>
      </w:r>
      <w:r w:rsidRPr="00E30434">
        <w:t>, and will require evidence of mitigating circumstances that prevented the complainant from making</w:t>
      </w:r>
      <w:r w:rsidRPr="00753D6B">
        <w:t xml:space="preserve"> their concerns known in a timely way, within the deadline. </w:t>
      </w:r>
    </w:p>
    <w:p w14:paraId="0EFEEDD4" w14:textId="77777777" w:rsidR="00753D6B" w:rsidRDefault="00753D6B" w:rsidP="00753D6B">
      <w:pPr>
        <w:spacing w:after="0" w:line="240" w:lineRule="auto"/>
      </w:pPr>
    </w:p>
    <w:p w14:paraId="64F69B88" w14:textId="77777777" w:rsidR="00753D6B" w:rsidRPr="00753D6B" w:rsidRDefault="00753D6B" w:rsidP="00A74814">
      <w:pPr>
        <w:pStyle w:val="Heading1"/>
      </w:pPr>
      <w:bookmarkStart w:id="19" w:name="_Toc514666126"/>
      <w:bookmarkStart w:id="20" w:name="_Toc21525829"/>
      <w:r w:rsidRPr="00753D6B">
        <w:t>The Complaints Procedure</w:t>
      </w:r>
      <w:bookmarkEnd w:id="19"/>
      <w:bookmarkEnd w:id="20"/>
    </w:p>
    <w:p w14:paraId="60B43C27" w14:textId="77777777" w:rsidR="00EA17CF" w:rsidRDefault="008F7D04" w:rsidP="007508D3">
      <w:pPr>
        <w:pStyle w:val="ListParagraph"/>
        <w:numPr>
          <w:ilvl w:val="0"/>
          <w:numId w:val="14"/>
        </w:numPr>
        <w:spacing w:after="0" w:line="240" w:lineRule="auto"/>
      </w:pPr>
      <w:r>
        <w:t xml:space="preserve">The complaints procedure is intended to provide a quick, simple and streamlined process with a strong focus on early resolution. </w:t>
      </w:r>
      <w:r w:rsidR="00753D6B">
        <w:t xml:space="preserve">The procedure involves up to three stages, as illustrated in Figure </w:t>
      </w:r>
      <w:r w:rsidR="00A92B27">
        <w:t>2</w:t>
      </w:r>
      <w:r w:rsidR="00753D6B">
        <w:t xml:space="preserve"> below</w:t>
      </w:r>
      <w:r w:rsidR="0062704D">
        <w:t xml:space="preserve">; </w:t>
      </w:r>
      <w:r>
        <w:t>the first two being dealt by</w:t>
      </w:r>
      <w:r w:rsidR="00C41FF1">
        <w:t xml:space="preserve"> staff at</w:t>
      </w:r>
      <w:r w:rsidR="00AA5749">
        <w:t xml:space="preserve"> AMTRA </w:t>
      </w:r>
      <w:r>
        <w:t xml:space="preserve">and the third and last stage referred to Harper Adams University. </w:t>
      </w:r>
      <w:r w:rsidR="00EA17CF">
        <w:br w:type="page"/>
      </w:r>
    </w:p>
    <w:p w14:paraId="7D747E3A" w14:textId="77777777" w:rsidR="00EA17CF" w:rsidRPr="00EC5BD8" w:rsidRDefault="00EA17CF" w:rsidP="00A74814">
      <w:pPr>
        <w:pStyle w:val="Heading1"/>
      </w:pPr>
      <w:bookmarkStart w:id="21" w:name="_Toc514666127"/>
      <w:bookmarkStart w:id="22" w:name="_Toc21525830"/>
      <w:r w:rsidRPr="00EC5BD8">
        <w:t xml:space="preserve">Figure </w:t>
      </w:r>
      <w:r>
        <w:t>2</w:t>
      </w:r>
      <w:r w:rsidRPr="00EC5BD8">
        <w:t>. The Complaints Procedure</w:t>
      </w:r>
      <w:bookmarkEnd w:id="21"/>
      <w:bookmarkEnd w:id="22"/>
    </w:p>
    <w:p w14:paraId="791B8402" w14:textId="77777777" w:rsidR="00EA17CF" w:rsidRPr="00EC5BD8" w:rsidRDefault="00EA17CF" w:rsidP="00EA17CF">
      <w:pPr>
        <w:spacing w:after="0" w:line="240" w:lineRule="auto"/>
      </w:pPr>
    </w:p>
    <w:tbl>
      <w:tblPr>
        <w:tblStyle w:val="TableGrid"/>
        <w:tblW w:w="9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0"/>
        <w:gridCol w:w="428"/>
        <w:gridCol w:w="2092"/>
        <w:gridCol w:w="431"/>
        <w:gridCol w:w="2092"/>
        <w:gridCol w:w="431"/>
        <w:gridCol w:w="2092"/>
      </w:tblGrid>
      <w:tr w:rsidR="00EA17CF" w:rsidRPr="00EC5BD8" w14:paraId="4C4ADFF9" w14:textId="77777777" w:rsidTr="00781614">
        <w:tc>
          <w:tcPr>
            <w:tcW w:w="2090" w:type="dxa"/>
            <w:vAlign w:val="center"/>
          </w:tcPr>
          <w:p w14:paraId="2FA43431" w14:textId="77777777" w:rsidR="00EA17CF" w:rsidRPr="00EC5BD8" w:rsidRDefault="00EA17CF" w:rsidP="00781614">
            <w:pPr>
              <w:spacing w:line="300" w:lineRule="auto"/>
              <w:rPr>
                <w:rFonts w:eastAsia="Times New Roman" w:cs="Arial"/>
                <w:b/>
                <w:sz w:val="20"/>
                <w:szCs w:val="20"/>
                <w:lang w:eastAsia="en-GB"/>
              </w:rPr>
            </w:pPr>
            <w:r w:rsidRPr="00EC5BD8">
              <w:rPr>
                <w:rFonts w:eastAsia="Times New Roman" w:cs="Arial"/>
                <w:b/>
                <w:sz w:val="20"/>
                <w:szCs w:val="20"/>
                <w:lang w:eastAsia="en-GB"/>
              </w:rPr>
              <w:t>Early Resolution</w:t>
            </w:r>
          </w:p>
          <w:p w14:paraId="49731231" w14:textId="77777777" w:rsidR="00EA17CF" w:rsidRPr="00EC5BD8" w:rsidRDefault="00EA17CF" w:rsidP="00781614">
            <w:pPr>
              <w:spacing w:line="300" w:lineRule="auto"/>
              <w:rPr>
                <w:rFonts w:eastAsia="Times New Roman" w:cs="Arial"/>
                <w:sz w:val="20"/>
                <w:szCs w:val="20"/>
                <w:lang w:eastAsia="en-GB"/>
              </w:rPr>
            </w:pPr>
            <w:r w:rsidRPr="00EC5BD8">
              <w:rPr>
                <w:rFonts w:eastAsia="Times New Roman" w:cs="Arial"/>
                <w:sz w:val="20"/>
                <w:szCs w:val="20"/>
                <w:lang w:eastAsia="en-GB"/>
              </w:rPr>
              <w:t>(Stage 1)</w:t>
            </w:r>
          </w:p>
        </w:tc>
        <w:tc>
          <w:tcPr>
            <w:tcW w:w="428" w:type="dxa"/>
            <w:vMerge w:val="restart"/>
          </w:tcPr>
          <w:p w14:paraId="5E8DCC33" w14:textId="77777777" w:rsidR="00EA17CF" w:rsidRPr="00EC5BD8" w:rsidRDefault="00EA17CF" w:rsidP="00781614">
            <w:pPr>
              <w:spacing w:line="300" w:lineRule="auto"/>
              <w:rPr>
                <w:rFonts w:eastAsia="Times New Roman" w:cs="Arial"/>
                <w:sz w:val="28"/>
                <w:szCs w:val="60"/>
                <w:lang w:eastAsia="en-GB"/>
              </w:rPr>
            </w:pPr>
            <w:r w:rsidRPr="00EC5BD8">
              <w:rPr>
                <w:rFonts w:eastAsia="Times New Roman" w:cs="Arial"/>
                <w:sz w:val="28"/>
                <w:szCs w:val="60"/>
                <w:lang w:eastAsia="en-GB"/>
              </w:rPr>
              <w:t>→</w:t>
            </w:r>
          </w:p>
        </w:tc>
        <w:tc>
          <w:tcPr>
            <w:tcW w:w="2092" w:type="dxa"/>
            <w:vAlign w:val="center"/>
          </w:tcPr>
          <w:p w14:paraId="00DF97AC" w14:textId="77777777" w:rsidR="00EA17CF" w:rsidRPr="00EC5BD8" w:rsidRDefault="00EA17CF" w:rsidP="00781614">
            <w:pPr>
              <w:spacing w:line="300" w:lineRule="auto"/>
              <w:rPr>
                <w:rFonts w:eastAsia="Times New Roman" w:cs="Arial"/>
                <w:b/>
                <w:sz w:val="20"/>
                <w:szCs w:val="20"/>
                <w:lang w:eastAsia="en-GB"/>
              </w:rPr>
            </w:pPr>
            <w:r w:rsidRPr="00EC5BD8">
              <w:rPr>
                <w:rFonts w:eastAsia="Times New Roman" w:cs="Arial"/>
                <w:b/>
                <w:sz w:val="20"/>
                <w:szCs w:val="20"/>
                <w:lang w:eastAsia="en-GB"/>
              </w:rPr>
              <w:t>Formal Complaints</w:t>
            </w:r>
          </w:p>
          <w:p w14:paraId="1CCA5E7A" w14:textId="77777777" w:rsidR="00EA17CF" w:rsidRPr="00EC5BD8" w:rsidRDefault="00EA17CF" w:rsidP="00781614">
            <w:pPr>
              <w:spacing w:line="300" w:lineRule="auto"/>
              <w:rPr>
                <w:rFonts w:eastAsia="Times New Roman" w:cs="Arial"/>
                <w:sz w:val="20"/>
                <w:szCs w:val="20"/>
                <w:lang w:eastAsia="en-GB"/>
              </w:rPr>
            </w:pPr>
            <w:r w:rsidRPr="00EC5BD8">
              <w:rPr>
                <w:rFonts w:eastAsia="Times New Roman" w:cs="Arial"/>
                <w:sz w:val="20"/>
                <w:szCs w:val="20"/>
                <w:lang w:eastAsia="en-GB"/>
              </w:rPr>
              <w:t>(Stage 2)</w:t>
            </w:r>
          </w:p>
        </w:tc>
        <w:tc>
          <w:tcPr>
            <w:tcW w:w="431" w:type="dxa"/>
            <w:vMerge w:val="restart"/>
          </w:tcPr>
          <w:p w14:paraId="1A97429E" w14:textId="77777777" w:rsidR="00EA17CF" w:rsidRPr="00EC5BD8" w:rsidRDefault="00EA17CF" w:rsidP="00781614">
            <w:pPr>
              <w:spacing w:line="300" w:lineRule="auto"/>
              <w:rPr>
                <w:rFonts w:eastAsia="Times New Roman" w:cs="Arial"/>
                <w:sz w:val="32"/>
                <w:szCs w:val="60"/>
                <w:lang w:eastAsia="en-GB"/>
              </w:rPr>
            </w:pPr>
            <w:r w:rsidRPr="00EC5BD8">
              <w:rPr>
                <w:rFonts w:eastAsia="Times New Roman" w:cs="Arial"/>
                <w:sz w:val="32"/>
                <w:szCs w:val="60"/>
                <w:lang w:eastAsia="en-GB"/>
              </w:rPr>
              <w:t>→</w:t>
            </w:r>
          </w:p>
        </w:tc>
        <w:tc>
          <w:tcPr>
            <w:tcW w:w="2092" w:type="dxa"/>
            <w:tcBorders>
              <w:right w:val="single" w:sz="4" w:space="0" w:color="auto"/>
            </w:tcBorders>
          </w:tcPr>
          <w:p w14:paraId="37E373A4" w14:textId="77777777" w:rsidR="00EA17CF" w:rsidRPr="00EC5BD8" w:rsidRDefault="00EA17CF" w:rsidP="00781614">
            <w:pPr>
              <w:spacing w:line="300" w:lineRule="auto"/>
              <w:rPr>
                <w:rFonts w:eastAsia="Times New Roman" w:cs="Arial"/>
                <w:b/>
                <w:sz w:val="20"/>
                <w:szCs w:val="20"/>
                <w:lang w:eastAsia="en-GB"/>
              </w:rPr>
            </w:pPr>
            <w:r w:rsidRPr="00EC5BD8">
              <w:rPr>
                <w:rFonts w:eastAsia="Times New Roman" w:cs="Arial"/>
                <w:b/>
                <w:sz w:val="20"/>
                <w:szCs w:val="20"/>
                <w:lang w:eastAsia="en-GB"/>
              </w:rPr>
              <w:t>Internal Review</w:t>
            </w:r>
          </w:p>
          <w:p w14:paraId="2BD81A4E" w14:textId="77777777" w:rsidR="00EA17CF" w:rsidRPr="00EC5BD8" w:rsidRDefault="00EA17CF" w:rsidP="00781614">
            <w:pPr>
              <w:spacing w:line="300" w:lineRule="auto"/>
              <w:rPr>
                <w:rFonts w:eastAsia="Times New Roman" w:cs="Arial"/>
                <w:sz w:val="20"/>
                <w:szCs w:val="20"/>
                <w:lang w:eastAsia="en-GB"/>
              </w:rPr>
            </w:pPr>
            <w:r w:rsidRPr="00EC5BD8">
              <w:rPr>
                <w:rFonts w:eastAsia="Times New Roman" w:cs="Arial"/>
                <w:sz w:val="20"/>
                <w:szCs w:val="20"/>
                <w:lang w:eastAsia="en-GB"/>
              </w:rPr>
              <w:t>(Stage 3)</w:t>
            </w:r>
          </w:p>
        </w:tc>
        <w:tc>
          <w:tcPr>
            <w:tcW w:w="431" w:type="dxa"/>
            <w:tcBorders>
              <w:left w:val="single" w:sz="4" w:space="0" w:color="auto"/>
            </w:tcBorders>
          </w:tcPr>
          <w:p w14:paraId="1C75FBA7" w14:textId="77777777" w:rsidR="00EA17CF" w:rsidRPr="00EC5BD8" w:rsidRDefault="00EA17CF" w:rsidP="00781614">
            <w:pPr>
              <w:spacing w:line="300" w:lineRule="auto"/>
              <w:rPr>
                <w:rFonts w:eastAsia="Times New Roman" w:cs="Arial"/>
                <w:b/>
                <w:sz w:val="28"/>
                <w:szCs w:val="20"/>
                <w:lang w:eastAsia="en-GB"/>
              </w:rPr>
            </w:pPr>
            <w:r w:rsidRPr="00EC5BD8">
              <w:rPr>
                <w:rFonts w:eastAsia="Times New Roman" w:cs="Arial"/>
                <w:sz w:val="28"/>
                <w:szCs w:val="60"/>
                <w:lang w:eastAsia="en-GB"/>
              </w:rPr>
              <w:t>→</w:t>
            </w:r>
          </w:p>
        </w:tc>
        <w:tc>
          <w:tcPr>
            <w:tcW w:w="2092" w:type="dxa"/>
          </w:tcPr>
          <w:p w14:paraId="7543FCEC" w14:textId="77777777" w:rsidR="00EA17CF" w:rsidRPr="00EC5BD8" w:rsidRDefault="00EA17CF" w:rsidP="00781614">
            <w:pPr>
              <w:spacing w:line="300" w:lineRule="auto"/>
              <w:rPr>
                <w:rFonts w:eastAsia="Times New Roman" w:cs="Arial"/>
                <w:b/>
                <w:sz w:val="20"/>
                <w:szCs w:val="20"/>
                <w:lang w:eastAsia="en-GB"/>
              </w:rPr>
            </w:pPr>
            <w:r w:rsidRPr="00EC5BD8">
              <w:rPr>
                <w:rFonts w:eastAsia="Times New Roman" w:cs="Arial"/>
                <w:b/>
                <w:sz w:val="20"/>
                <w:szCs w:val="20"/>
                <w:lang w:eastAsia="en-GB"/>
              </w:rPr>
              <w:t>Independent External Review</w:t>
            </w:r>
          </w:p>
        </w:tc>
      </w:tr>
      <w:tr w:rsidR="00EA17CF" w:rsidRPr="00EC5BD8" w14:paraId="0843B848" w14:textId="77777777" w:rsidTr="00781614">
        <w:tc>
          <w:tcPr>
            <w:tcW w:w="2090" w:type="dxa"/>
          </w:tcPr>
          <w:p w14:paraId="6F7F1F35" w14:textId="77777777" w:rsidR="00EA17CF" w:rsidRPr="00EC5BD8" w:rsidRDefault="00EA17CF" w:rsidP="00781614">
            <w:pPr>
              <w:spacing w:line="300" w:lineRule="auto"/>
              <w:rPr>
                <w:rFonts w:eastAsia="Times New Roman" w:cs="Arial"/>
                <w:sz w:val="10"/>
                <w:szCs w:val="10"/>
                <w:lang w:eastAsia="en-GB"/>
              </w:rPr>
            </w:pPr>
          </w:p>
        </w:tc>
        <w:tc>
          <w:tcPr>
            <w:tcW w:w="428" w:type="dxa"/>
            <w:vMerge/>
            <w:vAlign w:val="center"/>
          </w:tcPr>
          <w:p w14:paraId="7ADD2697" w14:textId="77777777" w:rsidR="00EA17CF" w:rsidRPr="00EC5BD8" w:rsidRDefault="00EA17CF" w:rsidP="00781614">
            <w:pPr>
              <w:spacing w:line="300" w:lineRule="auto"/>
              <w:rPr>
                <w:rFonts w:eastAsia="Times New Roman" w:cs="Arial"/>
                <w:sz w:val="10"/>
                <w:szCs w:val="10"/>
                <w:lang w:eastAsia="en-GB"/>
              </w:rPr>
            </w:pPr>
          </w:p>
        </w:tc>
        <w:tc>
          <w:tcPr>
            <w:tcW w:w="2092" w:type="dxa"/>
          </w:tcPr>
          <w:p w14:paraId="111E7641" w14:textId="77777777" w:rsidR="00EA17CF" w:rsidRPr="00EC5BD8" w:rsidRDefault="00EA17CF" w:rsidP="00781614">
            <w:pPr>
              <w:spacing w:line="300" w:lineRule="auto"/>
              <w:rPr>
                <w:rFonts w:eastAsia="Times New Roman" w:cs="Arial"/>
                <w:sz w:val="10"/>
                <w:szCs w:val="10"/>
                <w:lang w:eastAsia="en-GB"/>
              </w:rPr>
            </w:pPr>
          </w:p>
        </w:tc>
        <w:tc>
          <w:tcPr>
            <w:tcW w:w="431" w:type="dxa"/>
            <w:vMerge/>
          </w:tcPr>
          <w:p w14:paraId="58AB57C8" w14:textId="77777777" w:rsidR="00EA17CF" w:rsidRPr="00EC5BD8" w:rsidRDefault="00EA17CF" w:rsidP="00781614">
            <w:pPr>
              <w:spacing w:line="300" w:lineRule="auto"/>
              <w:rPr>
                <w:rFonts w:eastAsia="Times New Roman" w:cs="Arial"/>
                <w:sz w:val="32"/>
                <w:szCs w:val="10"/>
                <w:lang w:eastAsia="en-GB"/>
              </w:rPr>
            </w:pPr>
          </w:p>
        </w:tc>
        <w:tc>
          <w:tcPr>
            <w:tcW w:w="2092" w:type="dxa"/>
            <w:tcBorders>
              <w:right w:val="single" w:sz="4" w:space="0" w:color="auto"/>
            </w:tcBorders>
          </w:tcPr>
          <w:p w14:paraId="40536807" w14:textId="77777777" w:rsidR="00EA17CF" w:rsidRPr="00EC5BD8" w:rsidRDefault="00EA17CF" w:rsidP="00781614">
            <w:pPr>
              <w:spacing w:line="300" w:lineRule="auto"/>
              <w:rPr>
                <w:rFonts w:eastAsia="Times New Roman" w:cs="Arial"/>
                <w:sz w:val="10"/>
                <w:szCs w:val="10"/>
                <w:lang w:eastAsia="en-GB"/>
              </w:rPr>
            </w:pPr>
          </w:p>
        </w:tc>
        <w:tc>
          <w:tcPr>
            <w:tcW w:w="431" w:type="dxa"/>
            <w:tcBorders>
              <w:left w:val="single" w:sz="4" w:space="0" w:color="auto"/>
            </w:tcBorders>
          </w:tcPr>
          <w:p w14:paraId="5ACA9C3F" w14:textId="77777777" w:rsidR="00EA17CF" w:rsidRPr="00EC5BD8" w:rsidRDefault="00EA17CF" w:rsidP="00781614">
            <w:pPr>
              <w:spacing w:line="300" w:lineRule="auto"/>
              <w:rPr>
                <w:rFonts w:eastAsia="Times New Roman" w:cs="Arial"/>
                <w:sz w:val="28"/>
                <w:szCs w:val="10"/>
                <w:lang w:eastAsia="en-GB"/>
              </w:rPr>
            </w:pPr>
          </w:p>
        </w:tc>
        <w:tc>
          <w:tcPr>
            <w:tcW w:w="2092" w:type="dxa"/>
          </w:tcPr>
          <w:p w14:paraId="29D91692" w14:textId="77777777" w:rsidR="00EA17CF" w:rsidRPr="00EC5BD8" w:rsidRDefault="00EA17CF" w:rsidP="00781614">
            <w:pPr>
              <w:spacing w:line="300" w:lineRule="auto"/>
              <w:rPr>
                <w:rFonts w:eastAsia="Times New Roman" w:cs="Arial"/>
                <w:sz w:val="10"/>
                <w:szCs w:val="10"/>
                <w:lang w:eastAsia="en-GB"/>
              </w:rPr>
            </w:pPr>
          </w:p>
        </w:tc>
      </w:tr>
      <w:tr w:rsidR="00EA17CF" w:rsidRPr="00EC5BD8" w14:paraId="1B96A415" w14:textId="77777777" w:rsidTr="00781614">
        <w:tc>
          <w:tcPr>
            <w:tcW w:w="2090" w:type="dxa"/>
          </w:tcPr>
          <w:p w14:paraId="29016272"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For all issues that are straightforward and easily resolved, requiring only limited investigation and dealt with by staff with responsibility for the area of concern.</w:t>
            </w:r>
          </w:p>
          <w:p w14:paraId="352A8369" w14:textId="77777777" w:rsidR="00EA17CF" w:rsidRPr="00EC5BD8" w:rsidRDefault="00EA17CF" w:rsidP="00781614">
            <w:pPr>
              <w:rPr>
                <w:rFonts w:eastAsia="Times New Roman" w:cs="Arial"/>
                <w:sz w:val="10"/>
                <w:szCs w:val="10"/>
                <w:lang w:eastAsia="en-GB"/>
              </w:rPr>
            </w:pPr>
          </w:p>
          <w:p w14:paraId="3B001E60"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‘On-the-spot’ apology, where appropriate, explanation, or other action to resolve the complaint quickly, within 21</w:t>
            </w:r>
            <w:r w:rsidR="00581963">
              <w:rPr>
                <w:rFonts w:eastAsia="Times New Roman" w:cs="Arial"/>
                <w:sz w:val="20"/>
                <w:szCs w:val="20"/>
                <w:lang w:eastAsia="en-GB"/>
              </w:rPr>
              <w:t xml:space="preserve"> calendar</w:t>
            </w:r>
            <w:r w:rsidRPr="00EC5BD8">
              <w:rPr>
                <w:rFonts w:eastAsia="Times New Roman" w:cs="Arial"/>
                <w:sz w:val="20"/>
                <w:szCs w:val="20"/>
                <w:lang w:eastAsia="en-GB"/>
              </w:rPr>
              <w:t xml:space="preserve"> days, unless there are exceptional circumstances.</w:t>
            </w:r>
          </w:p>
          <w:p w14:paraId="0E9A0A71" w14:textId="77777777" w:rsidR="00EA17CF" w:rsidRPr="00EC5BD8" w:rsidRDefault="00EA17CF" w:rsidP="00781614">
            <w:pPr>
              <w:rPr>
                <w:rFonts w:eastAsia="Times New Roman" w:cs="Arial"/>
                <w:sz w:val="10"/>
                <w:szCs w:val="10"/>
                <w:lang w:eastAsia="en-GB"/>
              </w:rPr>
            </w:pPr>
          </w:p>
          <w:p w14:paraId="468F420E"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Complaints addressed by any relevant member of staff, or alternatively referred to the appropriate point for frontline resolution.</w:t>
            </w:r>
          </w:p>
          <w:p w14:paraId="00E5E4FD" w14:textId="77777777" w:rsidR="00EA17CF" w:rsidRPr="00EC5BD8" w:rsidRDefault="00EA17CF" w:rsidP="00781614">
            <w:pPr>
              <w:rPr>
                <w:rFonts w:eastAsia="Times New Roman" w:cs="Arial"/>
                <w:sz w:val="10"/>
                <w:szCs w:val="10"/>
                <w:lang w:eastAsia="en-GB"/>
              </w:rPr>
            </w:pPr>
          </w:p>
          <w:p w14:paraId="0E8E5F7B" w14:textId="346DADB8"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Complaint details and outcome are recorded by the complaints handler</w:t>
            </w:r>
            <w:r>
              <w:rPr>
                <w:rFonts w:eastAsia="Times New Roman" w:cs="Arial"/>
                <w:sz w:val="20"/>
                <w:szCs w:val="20"/>
                <w:lang w:eastAsia="en-GB"/>
              </w:rPr>
              <w:t xml:space="preserve">, </w:t>
            </w:r>
            <w:r w:rsidRPr="00EC5BD8">
              <w:rPr>
                <w:rFonts w:eastAsia="Times New Roman" w:cs="Arial"/>
                <w:sz w:val="20"/>
                <w:szCs w:val="20"/>
                <w:lang w:eastAsia="en-GB"/>
              </w:rPr>
              <w:t>to be made available in the event that the complainant subsequently refers a complaint within the formal, stage 2, procedures.</w:t>
            </w:r>
          </w:p>
          <w:p w14:paraId="06F1B38D" w14:textId="77777777" w:rsidR="00EA17CF" w:rsidRPr="00EC5BD8" w:rsidRDefault="00EA17CF" w:rsidP="00781614">
            <w:pPr>
              <w:rPr>
                <w:rFonts w:eastAsia="Times New Roman" w:cs="Arial"/>
                <w:sz w:val="20"/>
                <w:szCs w:val="20"/>
                <w:lang w:eastAsia="en-GB"/>
              </w:rPr>
            </w:pPr>
          </w:p>
          <w:p w14:paraId="0181DA3E"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Complainants referred to formal complaints stage should they remain dissatisfied.</w:t>
            </w:r>
          </w:p>
        </w:tc>
        <w:tc>
          <w:tcPr>
            <w:tcW w:w="428" w:type="dxa"/>
            <w:vMerge/>
            <w:vAlign w:val="center"/>
          </w:tcPr>
          <w:p w14:paraId="6D9E2638" w14:textId="77777777" w:rsidR="00EA17CF" w:rsidRPr="00EC5BD8" w:rsidRDefault="00EA17CF" w:rsidP="00781614">
            <w:pPr>
              <w:spacing w:line="300" w:lineRule="auto"/>
              <w:rPr>
                <w:rFonts w:eastAsia="Times New Roman" w:cs="Arial"/>
                <w:sz w:val="60"/>
                <w:szCs w:val="60"/>
                <w:lang w:eastAsia="en-GB"/>
              </w:rPr>
            </w:pPr>
          </w:p>
        </w:tc>
        <w:tc>
          <w:tcPr>
            <w:tcW w:w="2092" w:type="dxa"/>
          </w:tcPr>
          <w:p w14:paraId="672D228C"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For issues that have not been resolved to the satisfaction of the complainant through the early resolution stage</w:t>
            </w:r>
            <w:r>
              <w:rPr>
                <w:rFonts w:eastAsia="Times New Roman" w:cs="Arial"/>
                <w:sz w:val="20"/>
                <w:szCs w:val="20"/>
                <w:lang w:eastAsia="en-GB"/>
              </w:rPr>
              <w:t>.</w:t>
            </w:r>
          </w:p>
          <w:p w14:paraId="49934DB8" w14:textId="77777777" w:rsidR="00EA17CF" w:rsidRPr="00EC5BD8" w:rsidRDefault="00EA17CF" w:rsidP="00781614">
            <w:pPr>
              <w:rPr>
                <w:rFonts w:eastAsia="Times New Roman" w:cs="Arial"/>
                <w:sz w:val="20"/>
                <w:szCs w:val="20"/>
                <w:lang w:eastAsia="en-GB"/>
              </w:rPr>
            </w:pPr>
          </w:p>
          <w:p w14:paraId="33196529"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Formal complaints are dealt with by staff ind</w:t>
            </w:r>
            <w:r>
              <w:rPr>
                <w:rFonts w:eastAsia="Times New Roman" w:cs="Arial"/>
                <w:sz w:val="20"/>
                <w:szCs w:val="20"/>
                <w:lang w:eastAsia="en-GB"/>
              </w:rPr>
              <w:t xml:space="preserve">ependent of the area of concern – </w:t>
            </w:r>
            <w:r w:rsidR="009D4D45">
              <w:rPr>
                <w:rFonts w:eastAsia="Times New Roman" w:cs="Arial"/>
                <w:sz w:val="20"/>
                <w:szCs w:val="20"/>
                <w:lang w:eastAsia="en-GB"/>
              </w:rPr>
              <w:t>AMTRA Secretary General</w:t>
            </w:r>
            <w:r>
              <w:rPr>
                <w:rFonts w:eastAsia="Times New Roman" w:cs="Arial"/>
                <w:sz w:val="20"/>
                <w:szCs w:val="20"/>
                <w:lang w:eastAsia="en-GB"/>
              </w:rPr>
              <w:t>.</w:t>
            </w:r>
          </w:p>
          <w:p w14:paraId="704A9D26" w14:textId="77777777" w:rsidR="00EA17CF" w:rsidRPr="00EC5BD8" w:rsidRDefault="00EA17CF" w:rsidP="00781614">
            <w:pPr>
              <w:rPr>
                <w:rFonts w:eastAsia="Times New Roman" w:cs="Arial"/>
                <w:sz w:val="10"/>
                <w:szCs w:val="10"/>
                <w:lang w:eastAsia="en-GB"/>
              </w:rPr>
            </w:pPr>
          </w:p>
          <w:p w14:paraId="797BB10A"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A definitive response normally provided within 28</w:t>
            </w:r>
            <w:r w:rsidR="00581963">
              <w:rPr>
                <w:rFonts w:eastAsia="Times New Roman" w:cs="Arial"/>
                <w:sz w:val="20"/>
                <w:szCs w:val="20"/>
                <w:lang w:eastAsia="en-GB"/>
              </w:rPr>
              <w:t xml:space="preserve"> calendar</w:t>
            </w:r>
            <w:r w:rsidRPr="00EC5BD8">
              <w:rPr>
                <w:rFonts w:eastAsia="Times New Roman" w:cs="Arial"/>
                <w:sz w:val="20"/>
                <w:szCs w:val="20"/>
                <w:lang w:eastAsia="en-GB"/>
              </w:rPr>
              <w:t xml:space="preserve"> days following a thorough investigation of the points raised.</w:t>
            </w:r>
          </w:p>
          <w:p w14:paraId="1943BEC0" w14:textId="77777777" w:rsidR="00EA17CF" w:rsidRPr="00EC5BD8" w:rsidRDefault="00EA17CF" w:rsidP="00781614">
            <w:pPr>
              <w:rPr>
                <w:rFonts w:eastAsia="Times New Roman" w:cs="Arial"/>
                <w:sz w:val="10"/>
                <w:szCs w:val="10"/>
                <w:lang w:eastAsia="en-GB"/>
              </w:rPr>
            </w:pPr>
          </w:p>
          <w:p w14:paraId="56F997CD"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Senior management have an active interest in complaints and use information gathered to improve services.</w:t>
            </w:r>
          </w:p>
          <w:p w14:paraId="40417B53" w14:textId="77777777" w:rsidR="00EA17CF" w:rsidRPr="00EC5BD8" w:rsidRDefault="00EA17CF" w:rsidP="00781614">
            <w:pPr>
              <w:rPr>
                <w:rFonts w:eastAsia="Times New Roman" w:cs="Arial"/>
                <w:sz w:val="10"/>
                <w:szCs w:val="10"/>
                <w:lang w:eastAsia="en-GB"/>
              </w:rPr>
            </w:pPr>
          </w:p>
          <w:p w14:paraId="2B24EF8D" w14:textId="77777777" w:rsidR="00EA17CF" w:rsidRPr="00EC5BD8" w:rsidRDefault="00EA17CF" w:rsidP="00781614">
            <w:pPr>
              <w:rPr>
                <w:rFonts w:eastAsia="Times New Roman" w:cs="Arial"/>
                <w:sz w:val="20"/>
                <w:szCs w:val="20"/>
                <w:lang w:eastAsia="en-GB"/>
              </w:rPr>
            </w:pPr>
          </w:p>
        </w:tc>
        <w:tc>
          <w:tcPr>
            <w:tcW w:w="431" w:type="dxa"/>
            <w:vMerge/>
          </w:tcPr>
          <w:p w14:paraId="4306CA3E" w14:textId="77777777" w:rsidR="00EA17CF" w:rsidRPr="00EC5BD8" w:rsidRDefault="00EA17CF" w:rsidP="00781614">
            <w:pPr>
              <w:spacing w:line="300" w:lineRule="auto"/>
              <w:rPr>
                <w:rFonts w:eastAsia="Times New Roman" w:cs="Arial"/>
                <w:sz w:val="32"/>
                <w:szCs w:val="60"/>
                <w:lang w:eastAsia="en-GB"/>
              </w:rPr>
            </w:pPr>
          </w:p>
        </w:tc>
        <w:tc>
          <w:tcPr>
            <w:tcW w:w="2092" w:type="dxa"/>
            <w:tcBorders>
              <w:right w:val="single" w:sz="4" w:space="0" w:color="auto"/>
            </w:tcBorders>
          </w:tcPr>
          <w:p w14:paraId="76897414"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For issues that have not been resolved to the satisfaction of the complainant.</w:t>
            </w:r>
          </w:p>
          <w:p w14:paraId="12370F04" w14:textId="77777777" w:rsidR="00EA17CF" w:rsidRPr="00EC5BD8" w:rsidRDefault="00EA17CF" w:rsidP="00781614">
            <w:pPr>
              <w:rPr>
                <w:rFonts w:eastAsia="Times New Roman" w:cs="Arial"/>
                <w:sz w:val="10"/>
                <w:szCs w:val="10"/>
                <w:lang w:eastAsia="en-GB"/>
              </w:rPr>
            </w:pPr>
          </w:p>
          <w:p w14:paraId="6547C7B8"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 xml:space="preserve">Complainants who remain dissatisfied after an investigation has been completed </w:t>
            </w:r>
            <w:r>
              <w:rPr>
                <w:rFonts w:eastAsia="Times New Roman" w:cs="Arial"/>
                <w:sz w:val="20"/>
                <w:szCs w:val="20"/>
                <w:lang w:eastAsia="en-GB"/>
              </w:rPr>
              <w:t xml:space="preserve">by </w:t>
            </w:r>
            <w:r w:rsidR="00AA5749">
              <w:rPr>
                <w:rFonts w:eastAsia="Times New Roman" w:cs="Arial"/>
                <w:sz w:val="20"/>
                <w:szCs w:val="20"/>
                <w:lang w:eastAsia="en-GB"/>
              </w:rPr>
              <w:t xml:space="preserve"> AMTRA </w:t>
            </w:r>
            <w:r w:rsidRPr="00EC5BD8">
              <w:rPr>
                <w:rFonts w:eastAsia="Times New Roman" w:cs="Arial"/>
                <w:sz w:val="20"/>
                <w:szCs w:val="20"/>
                <w:lang w:eastAsia="en-GB"/>
              </w:rPr>
              <w:t xml:space="preserve">have the right to ask the </w:t>
            </w:r>
            <w:r>
              <w:rPr>
                <w:rFonts w:eastAsia="Times New Roman" w:cs="Arial"/>
                <w:sz w:val="20"/>
                <w:szCs w:val="20"/>
                <w:lang w:eastAsia="en-GB"/>
              </w:rPr>
              <w:t>Director Learning &amp; Teaching</w:t>
            </w:r>
            <w:r w:rsidRPr="00EC5BD8">
              <w:rPr>
                <w:rFonts w:eastAsia="Times New Roman" w:cs="Arial"/>
                <w:sz w:val="20"/>
                <w:szCs w:val="20"/>
                <w:lang w:eastAsia="en-GB"/>
              </w:rPr>
              <w:t xml:space="preserve"> to review the outcome.</w:t>
            </w:r>
          </w:p>
          <w:p w14:paraId="0DC5D1B0" w14:textId="77777777" w:rsidR="00EA17CF" w:rsidRPr="00EC5BD8" w:rsidRDefault="00EA17CF" w:rsidP="00781614">
            <w:pPr>
              <w:rPr>
                <w:rFonts w:eastAsia="Times New Roman" w:cs="Arial"/>
                <w:sz w:val="20"/>
                <w:szCs w:val="20"/>
                <w:lang w:eastAsia="en-GB"/>
              </w:rPr>
            </w:pPr>
          </w:p>
          <w:p w14:paraId="7909F95E"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A Completion of Procedures letter will be issued, setting out that the University’s internal procedures have been concluded and advising on recourse to external review.</w:t>
            </w:r>
          </w:p>
        </w:tc>
        <w:tc>
          <w:tcPr>
            <w:tcW w:w="431" w:type="dxa"/>
            <w:tcBorders>
              <w:left w:val="single" w:sz="4" w:space="0" w:color="auto"/>
            </w:tcBorders>
          </w:tcPr>
          <w:p w14:paraId="0EB08057" w14:textId="77777777" w:rsidR="00EA17CF" w:rsidRPr="00EC5BD8" w:rsidRDefault="00EA17CF" w:rsidP="00781614">
            <w:pPr>
              <w:rPr>
                <w:rFonts w:eastAsia="Times New Roman" w:cs="Arial"/>
                <w:sz w:val="28"/>
                <w:szCs w:val="20"/>
                <w:lang w:eastAsia="en-GB"/>
              </w:rPr>
            </w:pPr>
          </w:p>
        </w:tc>
        <w:tc>
          <w:tcPr>
            <w:tcW w:w="2092" w:type="dxa"/>
          </w:tcPr>
          <w:p w14:paraId="24384061"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For issues that have not been resolved to the satisfaction of the complainant.</w:t>
            </w:r>
          </w:p>
          <w:p w14:paraId="1D0A9A9D" w14:textId="77777777" w:rsidR="00EA17CF" w:rsidRPr="00EC5BD8" w:rsidRDefault="00EA17CF" w:rsidP="00781614">
            <w:pPr>
              <w:rPr>
                <w:rFonts w:eastAsia="Times New Roman" w:cs="Arial"/>
                <w:sz w:val="10"/>
                <w:szCs w:val="10"/>
                <w:lang w:eastAsia="en-GB"/>
              </w:rPr>
            </w:pPr>
          </w:p>
          <w:p w14:paraId="3ADA368D" w14:textId="77777777" w:rsidR="00EA17CF" w:rsidRPr="00EC5BD8" w:rsidRDefault="00EA17CF" w:rsidP="00781614">
            <w:pPr>
              <w:rPr>
                <w:rFonts w:eastAsia="Times New Roman" w:cs="Arial"/>
                <w:sz w:val="20"/>
                <w:szCs w:val="20"/>
                <w:lang w:eastAsia="en-GB"/>
              </w:rPr>
            </w:pPr>
            <w:r w:rsidRPr="00EC5BD8">
              <w:rPr>
                <w:rFonts w:eastAsia="Times New Roman" w:cs="Arial"/>
                <w:sz w:val="20"/>
                <w:szCs w:val="20"/>
                <w:lang w:eastAsia="en-GB"/>
              </w:rPr>
              <w:t xml:space="preserve">The complainant will be referred to the Office for the Independent Adjudicator (OIA) and may submit a complaint within the year of the issuance of the University’s Completion of Procedures letter. </w:t>
            </w:r>
          </w:p>
          <w:p w14:paraId="606B9DEE" w14:textId="77777777" w:rsidR="00EA17CF" w:rsidRPr="00EC5BD8" w:rsidRDefault="00EA17CF" w:rsidP="00781614">
            <w:pPr>
              <w:rPr>
                <w:rFonts w:eastAsia="Times New Roman" w:cs="Arial"/>
                <w:sz w:val="20"/>
                <w:szCs w:val="20"/>
                <w:lang w:eastAsia="en-GB"/>
              </w:rPr>
            </w:pPr>
          </w:p>
        </w:tc>
      </w:tr>
    </w:tbl>
    <w:p w14:paraId="7D216D53" w14:textId="77777777" w:rsidR="00EA17CF" w:rsidRDefault="00EA17CF" w:rsidP="007860FA">
      <w:pPr>
        <w:pStyle w:val="ListParagraph"/>
        <w:spacing w:after="0" w:line="240" w:lineRule="auto"/>
        <w:ind w:left="360"/>
      </w:pPr>
    </w:p>
    <w:p w14:paraId="066C1619" w14:textId="77777777" w:rsidR="00EA17CF" w:rsidRDefault="00EA17CF" w:rsidP="007860FA">
      <w:pPr>
        <w:pStyle w:val="ListParagraph"/>
        <w:spacing w:after="0" w:line="240" w:lineRule="auto"/>
        <w:ind w:left="360"/>
      </w:pPr>
    </w:p>
    <w:p w14:paraId="7B9863D1" w14:textId="77777777" w:rsidR="0062704D" w:rsidRDefault="008F7D04" w:rsidP="007508D3">
      <w:pPr>
        <w:pStyle w:val="ListParagraph"/>
        <w:numPr>
          <w:ilvl w:val="0"/>
          <w:numId w:val="14"/>
        </w:numPr>
        <w:spacing w:after="0" w:line="240" w:lineRule="auto"/>
      </w:pPr>
      <w:r w:rsidRPr="000C0C57">
        <w:rPr>
          <w:b/>
        </w:rPr>
        <w:t>Stage 1</w:t>
      </w:r>
      <w:r w:rsidR="0062704D" w:rsidRPr="000C0C57">
        <w:rPr>
          <w:b/>
        </w:rPr>
        <w:t xml:space="preserve"> </w:t>
      </w:r>
      <w:r w:rsidRPr="000C0C57">
        <w:rPr>
          <w:b/>
        </w:rPr>
        <w:t>Early complaints resolution</w:t>
      </w:r>
      <w:r>
        <w:t xml:space="preserve"> seeks to resolve straightforward complaints swiftly and effectively at the point at which the complaint is made. Complaints can be made in person or in writing and should be addressed to the</w:t>
      </w:r>
      <w:r w:rsidR="009D4D45">
        <w:t xml:space="preserve"> AMTRA Secretary General.</w:t>
      </w:r>
      <w:r w:rsidR="0062704D" w:rsidRPr="0062704D">
        <w:t xml:space="preserve"> The complainant should make it clear tha</w:t>
      </w:r>
      <w:r w:rsidR="0062704D">
        <w:t>t they are making an informal, S</w:t>
      </w:r>
      <w:r w:rsidR="0062704D" w:rsidRPr="0062704D">
        <w:t xml:space="preserve">tage </w:t>
      </w:r>
      <w:r w:rsidR="00F708AA">
        <w:t>1</w:t>
      </w:r>
      <w:r w:rsidR="0062704D" w:rsidRPr="0062704D">
        <w:t xml:space="preserve"> complaint, as opposed to making an observation, asking a question or providing feedback.</w:t>
      </w:r>
      <w:r w:rsidR="0062704D">
        <w:t xml:space="preserve"> Complainants should also ensure that they include the following within the information that they provide as part of their complaint, irrespective of the way in which they make their complaint known:</w:t>
      </w:r>
    </w:p>
    <w:p w14:paraId="203A459C" w14:textId="77777777" w:rsidR="0062704D" w:rsidRDefault="0062704D" w:rsidP="0062704D">
      <w:pPr>
        <w:spacing w:after="0" w:line="240" w:lineRule="auto"/>
        <w:ind w:left="720" w:hanging="360"/>
      </w:pPr>
      <w:r>
        <w:t>•</w:t>
      </w:r>
      <w:r>
        <w:tab/>
        <w:t>They are making an informal, Stage One complaint within the terms of this procedure, so that the staff member knows that they must deal with the concerns accordingly</w:t>
      </w:r>
    </w:p>
    <w:p w14:paraId="768D2EBC" w14:textId="77777777" w:rsidR="0062704D" w:rsidRDefault="0062704D" w:rsidP="0062704D">
      <w:pPr>
        <w:spacing w:after="0" w:line="240" w:lineRule="auto"/>
        <w:ind w:left="360"/>
      </w:pPr>
      <w:r>
        <w:t>•</w:t>
      </w:r>
      <w:r>
        <w:tab/>
        <w:t xml:space="preserve">The specific concern and the impact of the problem on the </w:t>
      </w:r>
      <w:r w:rsidR="00781614">
        <w:t>student SQP</w:t>
      </w:r>
    </w:p>
    <w:p w14:paraId="2146E3ED" w14:textId="77777777" w:rsidR="0062704D" w:rsidRDefault="0062704D" w:rsidP="007860FA">
      <w:pPr>
        <w:spacing w:after="0" w:line="240" w:lineRule="auto"/>
        <w:ind w:left="720" w:hanging="360"/>
      </w:pPr>
      <w:r>
        <w:t>•</w:t>
      </w:r>
      <w:r>
        <w:tab/>
      </w:r>
      <w:r w:rsidR="002F4A0A">
        <w:t>Where relevant, t</w:t>
      </w:r>
      <w:r>
        <w:t>he staff, or contractors who the complainant believes are involved</w:t>
      </w:r>
    </w:p>
    <w:p w14:paraId="37A2B7DE" w14:textId="77777777" w:rsidR="008F7D04" w:rsidRDefault="0062704D" w:rsidP="0062704D">
      <w:pPr>
        <w:spacing w:after="0" w:line="240" w:lineRule="auto"/>
        <w:ind w:left="360"/>
      </w:pPr>
      <w:r>
        <w:t>•</w:t>
      </w:r>
      <w:r>
        <w:tab/>
        <w:t xml:space="preserve">The outcome that they are hoping for.  </w:t>
      </w:r>
    </w:p>
    <w:p w14:paraId="78747F09" w14:textId="77777777" w:rsidR="0062704D" w:rsidRDefault="0062704D" w:rsidP="0062704D">
      <w:pPr>
        <w:spacing w:after="0" w:line="240" w:lineRule="auto"/>
        <w:ind w:left="360"/>
      </w:pPr>
    </w:p>
    <w:p w14:paraId="283A6FBC" w14:textId="77777777" w:rsidR="00AE112A" w:rsidRDefault="00AE112A" w:rsidP="0062704D">
      <w:pPr>
        <w:spacing w:after="0" w:line="240" w:lineRule="auto"/>
        <w:ind w:left="360"/>
      </w:pPr>
      <w:r>
        <w:t xml:space="preserve">The purpose of early resolution is to attempt to resolve as quickly as possible, and normally within </w:t>
      </w:r>
      <w:r w:rsidRPr="005E02EC">
        <w:rPr>
          <w:b/>
        </w:rPr>
        <w:t xml:space="preserve">21 </w:t>
      </w:r>
      <w:r w:rsidR="00581963">
        <w:rPr>
          <w:b/>
        </w:rPr>
        <w:t xml:space="preserve">calendar </w:t>
      </w:r>
      <w:r w:rsidRPr="005E02EC">
        <w:rPr>
          <w:b/>
        </w:rPr>
        <w:t>days</w:t>
      </w:r>
      <w:r>
        <w:t xml:space="preserve">, as close to the point of the problem as possible. </w:t>
      </w:r>
      <w:r w:rsidRPr="00AE112A">
        <w:t xml:space="preserve">In exceptional circumstances a short extension of time may be necessary to increase the possibility of resolving the complaint at the early resolution stage (for example, by obtaining information from other areas where no single area of </w:t>
      </w:r>
      <w:r w:rsidR="00A318D8">
        <w:t>AMTRA</w:t>
      </w:r>
      <w:r w:rsidR="00A318D8" w:rsidRPr="00AE112A">
        <w:t xml:space="preserve"> </w:t>
      </w:r>
      <w:r w:rsidRPr="00AE112A">
        <w:t xml:space="preserve">is responsible for the issue(s) being complained about).  The complainant must be told of the reasons for extending the deadline and advised of the new timescale for resolution. </w:t>
      </w:r>
    </w:p>
    <w:p w14:paraId="64DD55B0" w14:textId="77777777" w:rsidR="00C52CE1" w:rsidRDefault="00C52CE1" w:rsidP="0062704D">
      <w:pPr>
        <w:spacing w:after="0" w:line="240" w:lineRule="auto"/>
        <w:ind w:left="360"/>
      </w:pPr>
    </w:p>
    <w:p w14:paraId="1A2D2B57" w14:textId="77777777" w:rsidR="00C52CE1" w:rsidRDefault="007860FA" w:rsidP="0062704D">
      <w:pPr>
        <w:spacing w:after="0" w:line="240" w:lineRule="auto"/>
        <w:ind w:left="360"/>
      </w:pPr>
      <w:r>
        <w:t xml:space="preserve">The outcome will be communicated to the complainant by the staff member handling the complaint. This may be face-to-face, by phone or by email. If the outcome is given orally, the decision must also be summarised within an email </w:t>
      </w:r>
      <w:r w:rsidR="00B5327F">
        <w:t xml:space="preserve">or letter </w:t>
      </w:r>
      <w:r>
        <w:t>to the complainant headed, “</w:t>
      </w:r>
      <w:r w:rsidRPr="001411EB">
        <w:rPr>
          <w:i/>
        </w:rPr>
        <w:t xml:space="preserve">Early </w:t>
      </w:r>
      <w:r>
        <w:rPr>
          <w:i/>
        </w:rPr>
        <w:t>r</w:t>
      </w:r>
      <w:r w:rsidRPr="001411EB">
        <w:rPr>
          <w:i/>
        </w:rPr>
        <w:t>esolution complaints outcome</w:t>
      </w:r>
      <w:r>
        <w:t>”, setting out the following:</w:t>
      </w:r>
    </w:p>
    <w:p w14:paraId="51E45962" w14:textId="77777777" w:rsidR="007860FA" w:rsidRDefault="001411EB" w:rsidP="001411EB">
      <w:pPr>
        <w:pStyle w:val="ListParagraph"/>
        <w:numPr>
          <w:ilvl w:val="0"/>
          <w:numId w:val="9"/>
        </w:numPr>
        <w:spacing w:after="0" w:line="240" w:lineRule="auto"/>
      </w:pPr>
      <w:r>
        <w:t>Date of receipt of the first stage, informal complaint</w:t>
      </w:r>
    </w:p>
    <w:p w14:paraId="4045E7F5" w14:textId="77777777" w:rsidR="001411EB" w:rsidRDefault="001411EB" w:rsidP="001411EB">
      <w:pPr>
        <w:pStyle w:val="ListParagraph"/>
        <w:numPr>
          <w:ilvl w:val="0"/>
          <w:numId w:val="9"/>
        </w:numPr>
        <w:spacing w:after="0" w:line="240" w:lineRule="auto"/>
      </w:pPr>
      <w:r>
        <w:t>The specific concern raised by the student and their assessment of the impact of the problem on them</w:t>
      </w:r>
    </w:p>
    <w:p w14:paraId="54E0764C" w14:textId="77777777" w:rsidR="001411EB" w:rsidRDefault="001411EB" w:rsidP="001411EB">
      <w:pPr>
        <w:pStyle w:val="ListParagraph"/>
        <w:numPr>
          <w:ilvl w:val="0"/>
          <w:numId w:val="9"/>
        </w:numPr>
        <w:spacing w:after="0" w:line="240" w:lineRule="auto"/>
      </w:pPr>
      <w:r>
        <w:t>The outcome that the student was hoping for</w:t>
      </w:r>
    </w:p>
    <w:p w14:paraId="422728B6" w14:textId="77777777" w:rsidR="001411EB" w:rsidRDefault="001411EB" w:rsidP="001411EB">
      <w:pPr>
        <w:pStyle w:val="ListParagraph"/>
        <w:numPr>
          <w:ilvl w:val="0"/>
          <w:numId w:val="9"/>
        </w:numPr>
        <w:spacing w:after="0" w:line="240" w:lineRule="auto"/>
      </w:pPr>
      <w:r>
        <w:t>The outcome</w:t>
      </w:r>
      <w:r w:rsidR="00455ABF">
        <w:t>(</w:t>
      </w:r>
      <w:r>
        <w:t>s</w:t>
      </w:r>
      <w:r w:rsidR="00455ABF">
        <w:t>)</w:t>
      </w:r>
      <w:r>
        <w:t xml:space="preserve"> that the </w:t>
      </w:r>
      <w:r w:rsidR="009D4D45">
        <w:t>AMTRA Secretary General</w:t>
      </w:r>
      <w:r>
        <w:t xml:space="preserve"> determined, including, where applicable, any apology, explanation or change to existing arrangement for the </w:t>
      </w:r>
      <w:r w:rsidR="00781614">
        <w:t>student SQP</w:t>
      </w:r>
      <w:r>
        <w:t xml:space="preserve">s and/or for other </w:t>
      </w:r>
      <w:r w:rsidR="00781614">
        <w:t>student SQP</w:t>
      </w:r>
      <w:r>
        <w:t xml:space="preserve">s, or a commitment to identify the need for approved </w:t>
      </w:r>
      <w:r w:rsidR="00A318D8">
        <w:t xml:space="preserve">AMTRA </w:t>
      </w:r>
      <w:r>
        <w:t>policies or procedures to be resolved</w:t>
      </w:r>
    </w:p>
    <w:p w14:paraId="7351A58E" w14:textId="77777777" w:rsidR="001411EB" w:rsidRDefault="001411EB" w:rsidP="001411EB">
      <w:pPr>
        <w:pStyle w:val="ListParagraph"/>
        <w:numPr>
          <w:ilvl w:val="0"/>
          <w:numId w:val="9"/>
        </w:numPr>
        <w:spacing w:after="0" w:line="240" w:lineRule="auto"/>
      </w:pPr>
      <w:r>
        <w:t xml:space="preserve">Advice to the </w:t>
      </w:r>
      <w:r w:rsidR="00781614">
        <w:t>student SQP</w:t>
      </w:r>
      <w:r>
        <w:t xml:space="preserve"> that the early resolution complaint has been closed and advice on the availability of the a second stage, formal complaints procedure, if they remain dissatisfied</w:t>
      </w:r>
    </w:p>
    <w:p w14:paraId="1E4937D1" w14:textId="77777777" w:rsidR="00AE112A" w:rsidRDefault="00AE112A" w:rsidP="0062704D">
      <w:pPr>
        <w:spacing w:after="0" w:line="240" w:lineRule="auto"/>
        <w:ind w:left="360"/>
      </w:pPr>
    </w:p>
    <w:p w14:paraId="79EF10E2" w14:textId="24420FE6" w:rsidR="00C52CE1" w:rsidRDefault="008F7D04" w:rsidP="00AE112A">
      <w:pPr>
        <w:pStyle w:val="Default"/>
        <w:ind w:left="360"/>
        <w:rPr>
          <w:rFonts w:asciiTheme="minorHAnsi" w:hAnsiTheme="minorHAnsi"/>
          <w:sz w:val="22"/>
          <w:szCs w:val="22"/>
        </w:rPr>
      </w:pPr>
      <w:r w:rsidRPr="00923A29">
        <w:rPr>
          <w:rFonts w:asciiTheme="minorHAnsi" w:hAnsiTheme="minorHAnsi" w:cstheme="minorHAnsi"/>
          <w:b/>
          <w:sz w:val="22"/>
          <w:szCs w:val="22"/>
        </w:rPr>
        <w:t>Stage 2</w:t>
      </w:r>
      <w:r w:rsidR="0062704D" w:rsidRPr="00923A29">
        <w:rPr>
          <w:rFonts w:asciiTheme="minorHAnsi" w:hAnsiTheme="minorHAnsi" w:cstheme="minorHAnsi"/>
          <w:b/>
          <w:sz w:val="22"/>
          <w:szCs w:val="22"/>
        </w:rPr>
        <w:t xml:space="preserve"> </w:t>
      </w:r>
      <w:r w:rsidRPr="00923A29">
        <w:rPr>
          <w:rFonts w:asciiTheme="minorHAnsi" w:hAnsiTheme="minorHAnsi" w:cstheme="minorHAnsi"/>
          <w:b/>
          <w:sz w:val="22"/>
          <w:szCs w:val="22"/>
        </w:rPr>
        <w:t>A formal complaint</w:t>
      </w:r>
      <w:r w:rsidRPr="00923A29">
        <w:rPr>
          <w:rFonts w:asciiTheme="minorHAnsi" w:hAnsiTheme="minorHAnsi" w:cstheme="minorHAnsi"/>
          <w:sz w:val="22"/>
          <w:szCs w:val="22"/>
        </w:rPr>
        <w:t xml:space="preserve"> is appropriate where a complainant is dissatisfied with the outcome of early resolution.</w:t>
      </w:r>
      <w:r w:rsidRPr="000A3081">
        <w:t xml:space="preserve"> </w:t>
      </w:r>
      <w:r w:rsidR="00781614" w:rsidRPr="000A3081">
        <w:rPr>
          <w:rFonts w:asciiTheme="minorHAnsi" w:hAnsiTheme="minorHAnsi"/>
          <w:sz w:val="22"/>
          <w:szCs w:val="22"/>
        </w:rPr>
        <w:t>Student SQP</w:t>
      </w:r>
      <w:r w:rsidR="0062704D" w:rsidRPr="000A3081">
        <w:rPr>
          <w:rFonts w:asciiTheme="minorHAnsi" w:hAnsiTheme="minorHAnsi"/>
          <w:sz w:val="22"/>
          <w:szCs w:val="22"/>
        </w:rPr>
        <w:t>s</w:t>
      </w:r>
      <w:r w:rsidRPr="000A3081">
        <w:rPr>
          <w:rFonts w:asciiTheme="minorHAnsi" w:hAnsiTheme="minorHAnsi"/>
          <w:sz w:val="22"/>
          <w:szCs w:val="22"/>
        </w:rPr>
        <w:t xml:space="preserve"> must make a formal complaint, </w:t>
      </w:r>
      <w:r w:rsidRPr="000A3081">
        <w:rPr>
          <w:rFonts w:asciiTheme="minorHAnsi" w:hAnsiTheme="minorHAnsi"/>
          <w:b/>
          <w:sz w:val="22"/>
          <w:szCs w:val="22"/>
        </w:rPr>
        <w:t>within 14</w:t>
      </w:r>
      <w:r w:rsidR="00581963" w:rsidRPr="000A3081">
        <w:rPr>
          <w:rFonts w:asciiTheme="minorHAnsi" w:hAnsiTheme="minorHAnsi"/>
          <w:b/>
          <w:sz w:val="22"/>
          <w:szCs w:val="22"/>
        </w:rPr>
        <w:t xml:space="preserve"> calendar</w:t>
      </w:r>
      <w:r w:rsidRPr="000A3081">
        <w:rPr>
          <w:rFonts w:asciiTheme="minorHAnsi" w:hAnsiTheme="minorHAnsi"/>
          <w:b/>
          <w:sz w:val="22"/>
          <w:szCs w:val="22"/>
        </w:rPr>
        <w:t xml:space="preserve"> days</w:t>
      </w:r>
      <w:r w:rsidRPr="000A3081">
        <w:rPr>
          <w:rFonts w:asciiTheme="minorHAnsi" w:hAnsiTheme="minorHAnsi"/>
          <w:sz w:val="22"/>
          <w:szCs w:val="22"/>
        </w:rPr>
        <w:t xml:space="preserve"> of notification of the </w:t>
      </w:r>
      <w:r w:rsidR="009D4E90" w:rsidRPr="000A3081">
        <w:rPr>
          <w:rFonts w:asciiTheme="minorHAnsi" w:hAnsiTheme="minorHAnsi"/>
          <w:sz w:val="22"/>
          <w:szCs w:val="22"/>
        </w:rPr>
        <w:t>S</w:t>
      </w:r>
      <w:r w:rsidRPr="000A3081">
        <w:rPr>
          <w:rFonts w:asciiTheme="minorHAnsi" w:hAnsiTheme="minorHAnsi"/>
          <w:sz w:val="22"/>
          <w:szCs w:val="22"/>
        </w:rPr>
        <w:t>tage 1,</w:t>
      </w:r>
      <w:r w:rsidRPr="0062704D">
        <w:rPr>
          <w:rFonts w:asciiTheme="minorHAnsi" w:hAnsiTheme="minorHAnsi"/>
          <w:sz w:val="22"/>
          <w:szCs w:val="22"/>
        </w:rPr>
        <w:t xml:space="preserve"> early resolution outcome</w:t>
      </w:r>
      <w:r w:rsidR="00370CD6">
        <w:rPr>
          <w:rFonts w:asciiTheme="minorHAnsi" w:hAnsiTheme="minorHAnsi"/>
          <w:sz w:val="22"/>
          <w:szCs w:val="22"/>
        </w:rPr>
        <w:t xml:space="preserve">, </w:t>
      </w:r>
      <w:r w:rsidR="00AE112A">
        <w:rPr>
          <w:rFonts w:asciiTheme="minorHAnsi" w:hAnsiTheme="minorHAnsi"/>
          <w:sz w:val="22"/>
          <w:szCs w:val="22"/>
        </w:rPr>
        <w:t xml:space="preserve">by completing the Formal Complaints Form in Annex 1 of this document </w:t>
      </w:r>
      <w:r w:rsidR="008975CB" w:rsidRPr="003051D1">
        <w:rPr>
          <w:rFonts w:asciiTheme="minorHAnsi" w:hAnsiTheme="minorHAnsi"/>
          <w:sz w:val="22"/>
          <w:szCs w:val="22"/>
        </w:rPr>
        <w:t xml:space="preserve">and </w:t>
      </w:r>
      <w:r w:rsidR="008975CB" w:rsidRPr="0062484A">
        <w:rPr>
          <w:rFonts w:asciiTheme="minorHAnsi" w:hAnsiTheme="minorHAnsi"/>
          <w:sz w:val="22"/>
          <w:szCs w:val="22"/>
        </w:rPr>
        <w:t>submitting it to</w:t>
      </w:r>
      <w:r w:rsidR="000A3081">
        <w:rPr>
          <w:rFonts w:asciiTheme="minorHAnsi" w:hAnsiTheme="minorHAnsi"/>
          <w:sz w:val="22"/>
          <w:szCs w:val="22"/>
        </w:rPr>
        <w:t xml:space="preserve"> the AMTRA Secretary General</w:t>
      </w:r>
      <w:r w:rsidR="00FA69EE">
        <w:rPr>
          <w:rFonts w:asciiTheme="minorHAnsi" w:hAnsiTheme="minorHAnsi"/>
          <w:sz w:val="22"/>
          <w:szCs w:val="22"/>
        </w:rPr>
        <w:t xml:space="preserve"> either to </w:t>
      </w:r>
      <w:hyperlink r:id="rId14" w:history="1">
        <w:r w:rsidR="00FA69EE" w:rsidRPr="004A340B">
          <w:rPr>
            <w:rStyle w:val="Hyperlink"/>
            <w:rFonts w:asciiTheme="minorHAnsi" w:hAnsiTheme="minorHAnsi"/>
            <w:sz w:val="22"/>
            <w:szCs w:val="22"/>
          </w:rPr>
          <w:t>secretarygeneral@amtra.org.uk</w:t>
        </w:r>
      </w:hyperlink>
      <w:r w:rsidR="00FA69EE">
        <w:rPr>
          <w:rFonts w:asciiTheme="minorHAnsi" w:hAnsiTheme="minorHAnsi"/>
          <w:sz w:val="22"/>
          <w:szCs w:val="22"/>
        </w:rPr>
        <w:t xml:space="preserve"> or by writing to 1c Windmill Avenue, Woolpit, Bury St Edmunds, IP30 9UP</w:t>
      </w:r>
      <w:r w:rsidR="000A3081">
        <w:rPr>
          <w:rFonts w:asciiTheme="minorHAnsi" w:hAnsiTheme="minorHAnsi"/>
          <w:sz w:val="22"/>
          <w:szCs w:val="22"/>
        </w:rPr>
        <w:t>.</w:t>
      </w:r>
      <w:r w:rsidRPr="0062704D">
        <w:rPr>
          <w:rFonts w:asciiTheme="minorHAnsi" w:hAnsiTheme="minorHAnsi"/>
          <w:sz w:val="22"/>
          <w:szCs w:val="22"/>
        </w:rPr>
        <w:t xml:space="preserve"> </w:t>
      </w:r>
      <w:r w:rsidR="009D4E90" w:rsidRPr="0062704D">
        <w:rPr>
          <w:rFonts w:asciiTheme="minorHAnsi" w:hAnsiTheme="minorHAnsi"/>
          <w:sz w:val="22"/>
          <w:szCs w:val="22"/>
        </w:rPr>
        <w:t>Formal,</w:t>
      </w:r>
      <w:r w:rsidR="00455ABF">
        <w:rPr>
          <w:rFonts w:asciiTheme="minorHAnsi" w:hAnsiTheme="minorHAnsi"/>
          <w:sz w:val="22"/>
          <w:szCs w:val="22"/>
        </w:rPr>
        <w:t xml:space="preserve"> </w:t>
      </w:r>
      <w:r w:rsidR="009D4E90">
        <w:rPr>
          <w:rFonts w:asciiTheme="minorHAnsi" w:hAnsiTheme="minorHAnsi"/>
          <w:sz w:val="22"/>
          <w:szCs w:val="22"/>
        </w:rPr>
        <w:t>S</w:t>
      </w:r>
      <w:r w:rsidR="00455ABF">
        <w:rPr>
          <w:rFonts w:asciiTheme="minorHAnsi" w:hAnsiTheme="minorHAnsi"/>
          <w:sz w:val="22"/>
          <w:szCs w:val="22"/>
        </w:rPr>
        <w:t xml:space="preserve">tage 2, </w:t>
      </w:r>
      <w:r w:rsidRPr="0062704D">
        <w:rPr>
          <w:rFonts w:asciiTheme="minorHAnsi" w:hAnsiTheme="minorHAnsi"/>
          <w:sz w:val="22"/>
          <w:szCs w:val="22"/>
        </w:rPr>
        <w:t xml:space="preserve">complaints which are received after 14 </w:t>
      </w:r>
      <w:r w:rsidR="00581963">
        <w:rPr>
          <w:rFonts w:asciiTheme="minorHAnsi" w:hAnsiTheme="minorHAnsi"/>
          <w:sz w:val="22"/>
          <w:szCs w:val="22"/>
        </w:rPr>
        <w:t xml:space="preserve">calendar </w:t>
      </w:r>
      <w:r w:rsidRPr="0062704D">
        <w:rPr>
          <w:rFonts w:asciiTheme="minorHAnsi" w:hAnsiTheme="minorHAnsi"/>
          <w:sz w:val="22"/>
          <w:szCs w:val="22"/>
        </w:rPr>
        <w:t xml:space="preserve">days of notification of the early resolution, first stage complaint outcome will normally be rejected as out-of-time.  </w:t>
      </w:r>
      <w:r w:rsidR="00455ABF">
        <w:rPr>
          <w:rFonts w:asciiTheme="minorHAnsi" w:hAnsiTheme="minorHAnsi"/>
          <w:sz w:val="22"/>
          <w:szCs w:val="22"/>
        </w:rPr>
        <w:t xml:space="preserve">In such instances, </w:t>
      </w:r>
      <w:r w:rsidR="00A318D8">
        <w:rPr>
          <w:rFonts w:asciiTheme="minorHAnsi" w:hAnsiTheme="minorHAnsi"/>
          <w:sz w:val="22"/>
          <w:szCs w:val="22"/>
        </w:rPr>
        <w:t xml:space="preserve">AMTRA </w:t>
      </w:r>
      <w:r w:rsidR="00455ABF">
        <w:rPr>
          <w:rFonts w:asciiTheme="minorHAnsi" w:hAnsiTheme="minorHAnsi"/>
          <w:sz w:val="22"/>
          <w:szCs w:val="22"/>
        </w:rPr>
        <w:t xml:space="preserve">will request that Harper Adams University issues a Completion of Procedures letter.  </w:t>
      </w:r>
      <w:r w:rsidRPr="0062704D">
        <w:rPr>
          <w:rFonts w:asciiTheme="minorHAnsi" w:hAnsiTheme="minorHAnsi"/>
          <w:sz w:val="22"/>
          <w:szCs w:val="22"/>
        </w:rPr>
        <w:t xml:space="preserve">The only exceptions to this are where a </w:t>
      </w:r>
      <w:r w:rsidR="00781614">
        <w:rPr>
          <w:rFonts w:asciiTheme="minorHAnsi" w:hAnsiTheme="minorHAnsi"/>
          <w:sz w:val="22"/>
          <w:szCs w:val="22"/>
        </w:rPr>
        <w:t>student SQP</w:t>
      </w:r>
      <w:r w:rsidR="001411EB" w:rsidRPr="0062704D">
        <w:rPr>
          <w:rFonts w:asciiTheme="minorHAnsi" w:hAnsiTheme="minorHAnsi"/>
          <w:sz w:val="22"/>
          <w:szCs w:val="22"/>
        </w:rPr>
        <w:t xml:space="preserve"> </w:t>
      </w:r>
      <w:r w:rsidRPr="0062704D">
        <w:rPr>
          <w:rFonts w:asciiTheme="minorHAnsi" w:hAnsiTheme="minorHAnsi"/>
          <w:sz w:val="22"/>
          <w:szCs w:val="22"/>
        </w:rPr>
        <w:t>provides evidence of mitigating circumstances that prevented them from submitting a formal, second stage complaint within the approved timescale, for example through unexpected incapacitation or through disability</w:t>
      </w:r>
      <w:r w:rsidR="009D4E90">
        <w:rPr>
          <w:rFonts w:asciiTheme="minorHAnsi" w:hAnsiTheme="minorHAnsi"/>
          <w:sz w:val="22"/>
          <w:szCs w:val="22"/>
        </w:rPr>
        <w:t>.</w:t>
      </w:r>
    </w:p>
    <w:p w14:paraId="6367A4A3" w14:textId="77777777" w:rsidR="00C52CE1" w:rsidRDefault="00C52CE1" w:rsidP="00AE112A">
      <w:pPr>
        <w:pStyle w:val="Default"/>
        <w:ind w:left="360"/>
        <w:rPr>
          <w:rFonts w:asciiTheme="minorHAnsi" w:hAnsiTheme="minorHAnsi"/>
          <w:sz w:val="22"/>
          <w:szCs w:val="22"/>
        </w:rPr>
      </w:pPr>
    </w:p>
    <w:p w14:paraId="1A23E8D8" w14:textId="77777777" w:rsidR="008F7D04" w:rsidRDefault="00AE112A" w:rsidP="00AE112A">
      <w:pPr>
        <w:pStyle w:val="Default"/>
        <w:ind w:left="360"/>
        <w:rPr>
          <w:rFonts w:asciiTheme="minorHAnsi" w:hAnsiTheme="minorHAnsi"/>
          <w:sz w:val="22"/>
          <w:szCs w:val="22"/>
        </w:rPr>
      </w:pPr>
      <w:r>
        <w:rPr>
          <w:rFonts w:asciiTheme="minorHAnsi" w:hAnsiTheme="minorHAnsi"/>
          <w:sz w:val="22"/>
          <w:szCs w:val="22"/>
        </w:rPr>
        <w:t>The formal complaint must include:</w:t>
      </w:r>
    </w:p>
    <w:p w14:paraId="6EA861F6" w14:textId="77777777" w:rsidR="00AE112A" w:rsidRPr="00252F96" w:rsidRDefault="00AE112A" w:rsidP="00AE112A">
      <w:pPr>
        <w:pStyle w:val="ListParagraph"/>
        <w:numPr>
          <w:ilvl w:val="0"/>
          <w:numId w:val="9"/>
        </w:numPr>
        <w:spacing w:after="0" w:line="240" w:lineRule="auto"/>
        <w:contextualSpacing w:val="0"/>
        <w:rPr>
          <w:rFonts w:cs="Arial"/>
        </w:rPr>
      </w:pPr>
      <w:r>
        <w:rPr>
          <w:rFonts w:cs="Arial"/>
        </w:rPr>
        <w:t xml:space="preserve">An attached </w:t>
      </w:r>
      <w:r w:rsidRPr="00252F96">
        <w:rPr>
          <w:rFonts w:cs="Arial"/>
        </w:rPr>
        <w:t>copy of the early resolution, first stage complaint outcome</w:t>
      </w:r>
      <w:r>
        <w:rPr>
          <w:rFonts w:cs="Arial"/>
        </w:rPr>
        <w:t xml:space="preserve"> notification email</w:t>
      </w:r>
      <w:r w:rsidR="00C52CE1">
        <w:rPr>
          <w:rFonts w:cs="Arial"/>
        </w:rPr>
        <w:t>, where relevant</w:t>
      </w:r>
    </w:p>
    <w:p w14:paraId="4CC2FCBF" w14:textId="77777777" w:rsidR="00AE112A" w:rsidRPr="00252F96" w:rsidRDefault="00AE112A" w:rsidP="00AE112A">
      <w:pPr>
        <w:pStyle w:val="ListParagraph"/>
        <w:numPr>
          <w:ilvl w:val="0"/>
          <w:numId w:val="9"/>
        </w:numPr>
        <w:spacing w:after="0" w:line="240" w:lineRule="auto"/>
        <w:contextualSpacing w:val="0"/>
        <w:rPr>
          <w:rFonts w:cs="Arial"/>
        </w:rPr>
      </w:pPr>
      <w:r w:rsidRPr="00252F96">
        <w:rPr>
          <w:rFonts w:cs="Arial"/>
        </w:rPr>
        <w:t>Explanation of why the early resolution, first stage complaint outcome is not satisfactory</w:t>
      </w:r>
    </w:p>
    <w:p w14:paraId="6F671841" w14:textId="77777777" w:rsidR="00AE112A" w:rsidRPr="00252F96" w:rsidRDefault="00AE112A" w:rsidP="00AE112A">
      <w:pPr>
        <w:pStyle w:val="ListParagraph"/>
        <w:numPr>
          <w:ilvl w:val="0"/>
          <w:numId w:val="9"/>
        </w:numPr>
        <w:tabs>
          <w:tab w:val="left" w:pos="142"/>
        </w:tabs>
        <w:spacing w:after="0" w:line="240" w:lineRule="auto"/>
        <w:contextualSpacing w:val="0"/>
        <w:rPr>
          <w:rFonts w:cs="Arial"/>
        </w:rPr>
      </w:pPr>
      <w:r w:rsidRPr="00252F96">
        <w:rPr>
          <w:rFonts w:cs="Arial"/>
        </w:rPr>
        <w:t xml:space="preserve">Details of the specific concern and the impact of the problem on the </w:t>
      </w:r>
      <w:r w:rsidR="00781614">
        <w:rPr>
          <w:rFonts w:cs="Arial"/>
        </w:rPr>
        <w:t>student SQP</w:t>
      </w:r>
      <w:r w:rsidRPr="00252F96">
        <w:rPr>
          <w:rFonts w:cs="Arial"/>
        </w:rPr>
        <w:t>, including any supporting, independent evidence</w:t>
      </w:r>
    </w:p>
    <w:p w14:paraId="611A72E4" w14:textId="77777777" w:rsidR="00AE112A" w:rsidRPr="00252F96" w:rsidRDefault="00142FCF" w:rsidP="00AE112A">
      <w:pPr>
        <w:pStyle w:val="ListParagraph"/>
        <w:numPr>
          <w:ilvl w:val="0"/>
          <w:numId w:val="9"/>
        </w:numPr>
        <w:spacing w:after="0" w:line="240" w:lineRule="auto"/>
        <w:contextualSpacing w:val="0"/>
        <w:rPr>
          <w:rFonts w:cs="Arial"/>
        </w:rPr>
      </w:pPr>
      <w:r>
        <w:t xml:space="preserve">Where relevant, the staff, or contractors </w:t>
      </w:r>
      <w:r w:rsidR="00AE112A">
        <w:rPr>
          <w:rFonts w:cs="Arial"/>
        </w:rPr>
        <w:t>the complainant believes to be involved in the problem</w:t>
      </w:r>
    </w:p>
    <w:p w14:paraId="4EB689A4" w14:textId="77777777" w:rsidR="00AE112A" w:rsidRDefault="00AE112A" w:rsidP="00AE112A">
      <w:pPr>
        <w:pStyle w:val="ListParagraph"/>
        <w:numPr>
          <w:ilvl w:val="0"/>
          <w:numId w:val="9"/>
        </w:numPr>
        <w:spacing w:after="0" w:line="240" w:lineRule="auto"/>
        <w:contextualSpacing w:val="0"/>
        <w:rPr>
          <w:rFonts w:cs="Arial"/>
        </w:rPr>
      </w:pPr>
      <w:r w:rsidRPr="00252F96">
        <w:rPr>
          <w:rFonts w:cs="Arial"/>
        </w:rPr>
        <w:t>The outcome that they are hoping for.</w:t>
      </w:r>
    </w:p>
    <w:p w14:paraId="4BCB393C" w14:textId="77777777" w:rsidR="0062704D" w:rsidRPr="0062704D" w:rsidRDefault="0062704D" w:rsidP="0062704D">
      <w:pPr>
        <w:pStyle w:val="Default"/>
        <w:ind w:left="360"/>
        <w:rPr>
          <w:rFonts w:asciiTheme="minorHAnsi" w:hAnsiTheme="minorHAnsi"/>
        </w:rPr>
      </w:pPr>
    </w:p>
    <w:p w14:paraId="4E5F98C6" w14:textId="77777777" w:rsidR="008F7D04" w:rsidRDefault="0062704D" w:rsidP="0062704D">
      <w:pPr>
        <w:pStyle w:val="Default"/>
        <w:ind w:left="360"/>
        <w:rPr>
          <w:sz w:val="22"/>
          <w:szCs w:val="22"/>
        </w:rPr>
      </w:pPr>
      <w:r>
        <w:rPr>
          <w:rFonts w:asciiTheme="minorHAnsi" w:hAnsiTheme="minorHAnsi"/>
          <w:sz w:val="22"/>
          <w:szCs w:val="22"/>
        </w:rPr>
        <w:t>S</w:t>
      </w:r>
      <w:r w:rsidR="008F7D04" w:rsidRPr="0062704D">
        <w:rPr>
          <w:rFonts w:asciiTheme="minorHAnsi" w:hAnsiTheme="minorHAnsi"/>
          <w:sz w:val="22"/>
          <w:szCs w:val="22"/>
        </w:rPr>
        <w:t>tage</w:t>
      </w:r>
      <w:r>
        <w:rPr>
          <w:rFonts w:asciiTheme="minorHAnsi" w:hAnsiTheme="minorHAnsi"/>
          <w:sz w:val="22"/>
          <w:szCs w:val="22"/>
        </w:rPr>
        <w:t xml:space="preserve"> 2</w:t>
      </w:r>
      <w:r w:rsidR="008F7D04" w:rsidRPr="0062704D">
        <w:rPr>
          <w:rFonts w:asciiTheme="minorHAnsi" w:hAnsiTheme="minorHAnsi"/>
          <w:sz w:val="22"/>
          <w:szCs w:val="22"/>
        </w:rPr>
        <w:t xml:space="preserve"> complaints will normally be acknowledged in writing within </w:t>
      </w:r>
      <w:r w:rsidR="00AE112A">
        <w:rPr>
          <w:rFonts w:asciiTheme="minorHAnsi" w:hAnsiTheme="minorHAnsi"/>
          <w:sz w:val="22"/>
          <w:szCs w:val="22"/>
        </w:rPr>
        <w:t xml:space="preserve">7 </w:t>
      </w:r>
      <w:r w:rsidR="00581963">
        <w:rPr>
          <w:rFonts w:asciiTheme="minorHAnsi" w:hAnsiTheme="minorHAnsi"/>
          <w:sz w:val="22"/>
          <w:szCs w:val="22"/>
        </w:rPr>
        <w:t xml:space="preserve">calendar </w:t>
      </w:r>
      <w:r w:rsidR="004C56C4">
        <w:rPr>
          <w:rFonts w:asciiTheme="minorHAnsi" w:hAnsiTheme="minorHAnsi"/>
          <w:sz w:val="22"/>
          <w:szCs w:val="22"/>
        </w:rPr>
        <w:t xml:space="preserve">days. </w:t>
      </w:r>
      <w:r w:rsidR="00A318D8">
        <w:rPr>
          <w:rFonts w:asciiTheme="minorHAnsi" w:hAnsiTheme="minorHAnsi"/>
          <w:sz w:val="22"/>
          <w:szCs w:val="22"/>
        </w:rPr>
        <w:t xml:space="preserve"> AMTRA </w:t>
      </w:r>
      <w:r w:rsidR="008F7D04" w:rsidRPr="0062704D">
        <w:rPr>
          <w:rFonts w:asciiTheme="minorHAnsi" w:hAnsiTheme="minorHAnsi"/>
          <w:sz w:val="22"/>
          <w:szCs w:val="22"/>
        </w:rPr>
        <w:t xml:space="preserve">will provide a full response to the complaint as soon as possible </w:t>
      </w:r>
      <w:r w:rsidR="008F7D04" w:rsidRPr="005E02EC">
        <w:rPr>
          <w:rFonts w:asciiTheme="minorHAnsi" w:hAnsiTheme="minorHAnsi"/>
          <w:b/>
          <w:sz w:val="22"/>
          <w:szCs w:val="22"/>
        </w:rPr>
        <w:t xml:space="preserve">but no later than 28 </w:t>
      </w:r>
      <w:r w:rsidR="00581963">
        <w:rPr>
          <w:rFonts w:asciiTheme="minorHAnsi" w:hAnsiTheme="minorHAnsi"/>
          <w:b/>
          <w:sz w:val="22"/>
          <w:szCs w:val="22"/>
        </w:rPr>
        <w:t xml:space="preserve">calendar </w:t>
      </w:r>
      <w:r w:rsidR="008F7D04" w:rsidRPr="005E02EC">
        <w:rPr>
          <w:rFonts w:asciiTheme="minorHAnsi" w:hAnsiTheme="minorHAnsi"/>
          <w:b/>
          <w:sz w:val="22"/>
          <w:szCs w:val="22"/>
        </w:rPr>
        <w:t>days</w:t>
      </w:r>
      <w:r w:rsidR="008F7D04" w:rsidRPr="0062704D">
        <w:rPr>
          <w:rFonts w:asciiTheme="minorHAnsi" w:hAnsiTheme="minorHAnsi"/>
          <w:sz w:val="22"/>
          <w:szCs w:val="22"/>
        </w:rPr>
        <w:t xml:space="preserve"> from the time that the </w:t>
      </w:r>
      <w:r w:rsidR="00142FCF">
        <w:rPr>
          <w:rFonts w:asciiTheme="minorHAnsi" w:hAnsiTheme="minorHAnsi"/>
          <w:sz w:val="22"/>
          <w:szCs w:val="22"/>
        </w:rPr>
        <w:t xml:space="preserve">stage 2 </w:t>
      </w:r>
      <w:r w:rsidR="008F7D04" w:rsidRPr="0062704D">
        <w:rPr>
          <w:rFonts w:asciiTheme="minorHAnsi" w:hAnsiTheme="minorHAnsi"/>
          <w:sz w:val="22"/>
          <w:szCs w:val="22"/>
        </w:rPr>
        <w:t>complaint was received for investigation</w:t>
      </w:r>
      <w:r w:rsidR="008F7D04">
        <w:rPr>
          <w:sz w:val="22"/>
          <w:szCs w:val="22"/>
        </w:rPr>
        <w:t xml:space="preserve">. </w:t>
      </w:r>
    </w:p>
    <w:p w14:paraId="4474C5F0" w14:textId="77777777" w:rsidR="008975CB" w:rsidRDefault="008975CB" w:rsidP="008975CB">
      <w:pPr>
        <w:pStyle w:val="Default"/>
        <w:ind w:left="360"/>
        <w:rPr>
          <w:sz w:val="22"/>
          <w:szCs w:val="22"/>
        </w:rPr>
      </w:pPr>
    </w:p>
    <w:p w14:paraId="4EDA5224" w14:textId="77777777" w:rsidR="008975CB" w:rsidRPr="008975CB" w:rsidRDefault="008975CB" w:rsidP="008975CB">
      <w:pPr>
        <w:spacing w:after="0" w:line="240" w:lineRule="auto"/>
        <w:ind w:left="360"/>
        <w:contextualSpacing/>
        <w:rPr>
          <w:rFonts w:eastAsia="Times New Roman" w:cs="Arial"/>
          <w:lang w:eastAsia="en-GB"/>
        </w:rPr>
      </w:pPr>
      <w:r w:rsidRPr="008975CB">
        <w:rPr>
          <w:rFonts w:eastAsia="Times New Roman" w:cs="Arial"/>
          <w:lang w:eastAsia="en-GB"/>
        </w:rPr>
        <w:t>The outcome of the formal complaint will be communicated to the complainant in writing.  The decision, and details of how and when it was communicated to the complainant, will also be recorded.  The recorded outcome of the formal complaint will include the following:</w:t>
      </w:r>
    </w:p>
    <w:p w14:paraId="288E13A2"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Pr>
          <w:rFonts w:eastAsia="Times New Roman" w:cs="Arial"/>
          <w:lang w:eastAsia="en-GB"/>
        </w:rPr>
        <w:t xml:space="preserve">The </w:t>
      </w:r>
      <w:r w:rsidR="00781614">
        <w:rPr>
          <w:rFonts w:eastAsia="Times New Roman" w:cs="Arial"/>
          <w:lang w:eastAsia="en-GB"/>
        </w:rPr>
        <w:t>student SQP</w:t>
      </w:r>
      <w:r w:rsidRPr="008975CB">
        <w:rPr>
          <w:rFonts w:eastAsia="Times New Roman" w:cs="Arial"/>
          <w:lang w:eastAsia="en-GB"/>
        </w:rPr>
        <w:t>’s name</w:t>
      </w:r>
    </w:p>
    <w:p w14:paraId="6D93FE8C"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Date of receipt of complaint</w:t>
      </w:r>
    </w:p>
    <w:p w14:paraId="619932C0"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Name of the complaints handler</w:t>
      </w:r>
    </w:p>
    <w:p w14:paraId="4D3CCD2F"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 xml:space="preserve">The specific concern raised by the </w:t>
      </w:r>
      <w:r w:rsidR="00781614">
        <w:rPr>
          <w:rFonts w:eastAsia="Times New Roman" w:cs="Arial"/>
          <w:lang w:eastAsia="en-GB"/>
        </w:rPr>
        <w:t>student SQP</w:t>
      </w:r>
      <w:r w:rsidRPr="008975CB">
        <w:rPr>
          <w:rFonts w:eastAsia="Times New Roman" w:cs="Arial"/>
          <w:lang w:eastAsia="en-GB"/>
        </w:rPr>
        <w:t xml:space="preserve"> and their assessment of the impact of the problem on them</w:t>
      </w:r>
    </w:p>
    <w:p w14:paraId="30987152"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 xml:space="preserve">The </w:t>
      </w:r>
      <w:r w:rsidR="00BD4348">
        <w:rPr>
          <w:rFonts w:eastAsia="Times New Roman" w:cs="Arial"/>
          <w:lang w:eastAsia="en-GB"/>
        </w:rPr>
        <w:t>staff, or contractor</w:t>
      </w:r>
      <w:r w:rsidRPr="008975CB">
        <w:rPr>
          <w:rFonts w:eastAsia="Times New Roman" w:cs="Arial"/>
          <w:lang w:eastAsia="en-GB"/>
        </w:rPr>
        <w:t xml:space="preserve"> who the </w:t>
      </w:r>
      <w:r w:rsidR="00781614">
        <w:rPr>
          <w:rFonts w:eastAsia="Times New Roman" w:cs="Arial"/>
          <w:lang w:eastAsia="en-GB"/>
        </w:rPr>
        <w:t>student SQP</w:t>
      </w:r>
      <w:r w:rsidRPr="008975CB">
        <w:rPr>
          <w:rFonts w:eastAsia="Times New Roman" w:cs="Arial"/>
          <w:lang w:eastAsia="en-GB"/>
        </w:rPr>
        <w:t xml:space="preserve"> identified as involved</w:t>
      </w:r>
    </w:p>
    <w:p w14:paraId="63402A2F"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T</w:t>
      </w:r>
      <w:r>
        <w:rPr>
          <w:rFonts w:eastAsia="Times New Roman" w:cs="Arial"/>
          <w:lang w:eastAsia="en-GB"/>
        </w:rPr>
        <w:t xml:space="preserve">he outcome that the </w:t>
      </w:r>
      <w:r w:rsidR="00781614">
        <w:rPr>
          <w:rFonts w:eastAsia="Times New Roman" w:cs="Arial"/>
          <w:lang w:eastAsia="en-GB"/>
        </w:rPr>
        <w:t>student SQP</w:t>
      </w:r>
      <w:r>
        <w:rPr>
          <w:rFonts w:eastAsia="Times New Roman" w:cs="Arial"/>
          <w:lang w:eastAsia="en-GB"/>
        </w:rPr>
        <w:t xml:space="preserve"> </w:t>
      </w:r>
      <w:r w:rsidRPr="008975CB">
        <w:rPr>
          <w:rFonts w:eastAsia="Times New Roman" w:cs="Arial"/>
          <w:lang w:eastAsia="en-GB"/>
        </w:rPr>
        <w:t>was hoping for</w:t>
      </w:r>
    </w:p>
    <w:p w14:paraId="2F9F2D49"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A summary of any investigations undertaken, including with whom the complaints handler discussed the complaint and any documents reviewed</w:t>
      </w:r>
    </w:p>
    <w:p w14:paraId="089905B1"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The conclusion(s) drawn from any investigations</w:t>
      </w:r>
    </w:p>
    <w:p w14:paraId="717C054E"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 xml:space="preserve">The outcomes that the complaints handler determined, including, where applicable, any apology, explanation or change to existing arrangements for the </w:t>
      </w:r>
      <w:r w:rsidR="00781614">
        <w:rPr>
          <w:rFonts w:eastAsia="Times New Roman" w:cs="Arial"/>
          <w:lang w:eastAsia="en-GB"/>
        </w:rPr>
        <w:t>student SQP</w:t>
      </w:r>
      <w:r w:rsidRPr="008975CB">
        <w:rPr>
          <w:rFonts w:eastAsia="Times New Roman" w:cs="Arial"/>
          <w:lang w:eastAsia="en-GB"/>
        </w:rPr>
        <w:t xml:space="preserve"> and/or for other </w:t>
      </w:r>
      <w:r w:rsidR="00781614">
        <w:rPr>
          <w:rFonts w:eastAsia="Times New Roman" w:cs="Arial"/>
          <w:lang w:eastAsia="en-GB"/>
        </w:rPr>
        <w:t>student SQP</w:t>
      </w:r>
      <w:r w:rsidRPr="008975CB">
        <w:rPr>
          <w:rFonts w:eastAsia="Times New Roman" w:cs="Arial"/>
          <w:lang w:eastAsia="en-GB"/>
        </w:rPr>
        <w:t>, or a commitment to</w:t>
      </w:r>
      <w:r w:rsidR="004C56C4">
        <w:rPr>
          <w:rFonts w:eastAsia="Times New Roman" w:cs="Arial"/>
          <w:lang w:eastAsia="en-GB"/>
        </w:rPr>
        <w:t xml:space="preserve"> identify the need for approved</w:t>
      </w:r>
      <w:r w:rsidR="00A318D8">
        <w:rPr>
          <w:rFonts w:eastAsia="Times New Roman" w:cs="Arial"/>
          <w:lang w:eastAsia="en-GB"/>
        </w:rPr>
        <w:t xml:space="preserve"> AMTRA </w:t>
      </w:r>
      <w:r w:rsidRPr="008975CB">
        <w:rPr>
          <w:rFonts w:eastAsia="Times New Roman" w:cs="Arial"/>
          <w:lang w:eastAsia="en-GB"/>
        </w:rPr>
        <w:t>policies or procedures to be resolved by the appropriate post</w:t>
      </w:r>
      <w:r w:rsidR="001C186A">
        <w:rPr>
          <w:rFonts w:eastAsia="Times New Roman" w:cs="Arial"/>
          <w:lang w:eastAsia="en-GB"/>
        </w:rPr>
        <w:t xml:space="preserve"> </w:t>
      </w:r>
      <w:r w:rsidRPr="008975CB">
        <w:rPr>
          <w:rFonts w:eastAsia="Times New Roman" w:cs="Arial"/>
          <w:lang w:eastAsia="en-GB"/>
        </w:rPr>
        <w:t>holder or committee</w:t>
      </w:r>
    </w:p>
    <w:p w14:paraId="3DE46F68" w14:textId="77777777" w:rsidR="008975CB" w:rsidRPr="008975CB" w:rsidRDefault="008975CB" w:rsidP="008975CB">
      <w:pPr>
        <w:numPr>
          <w:ilvl w:val="1"/>
          <w:numId w:val="6"/>
        </w:numPr>
        <w:spacing w:after="0" w:line="240" w:lineRule="auto"/>
        <w:ind w:left="1077" w:hanging="357"/>
        <w:rPr>
          <w:rFonts w:eastAsia="Times New Roman" w:cs="Arial"/>
          <w:lang w:eastAsia="en-GB"/>
        </w:rPr>
      </w:pPr>
      <w:r w:rsidRPr="008975CB">
        <w:rPr>
          <w:rFonts w:eastAsia="Times New Roman" w:cs="Arial"/>
          <w:lang w:eastAsia="en-GB"/>
        </w:rPr>
        <w:t xml:space="preserve">Advice to the </w:t>
      </w:r>
      <w:r w:rsidR="00781614">
        <w:rPr>
          <w:rFonts w:eastAsia="Times New Roman" w:cs="Arial"/>
          <w:lang w:eastAsia="en-GB"/>
        </w:rPr>
        <w:t>student SQP</w:t>
      </w:r>
      <w:r w:rsidRPr="008975CB">
        <w:rPr>
          <w:rFonts w:eastAsia="Times New Roman" w:cs="Arial"/>
          <w:lang w:eastAsia="en-GB"/>
        </w:rPr>
        <w:t xml:space="preserve"> that the formal resolution complaint has been closed, the date of notification of outcome, and advice on the availability of a third and final internal review stage, within </w:t>
      </w:r>
      <w:r w:rsidR="00C3111A">
        <w:rPr>
          <w:rFonts w:eastAsia="Times New Roman" w:cs="Arial"/>
          <w:lang w:eastAsia="en-GB"/>
        </w:rPr>
        <w:t xml:space="preserve">7 </w:t>
      </w:r>
      <w:r w:rsidR="00581963">
        <w:rPr>
          <w:rFonts w:eastAsia="Times New Roman" w:cs="Arial"/>
          <w:lang w:eastAsia="en-GB"/>
        </w:rPr>
        <w:t xml:space="preserve">calendar </w:t>
      </w:r>
      <w:r w:rsidRPr="008975CB">
        <w:rPr>
          <w:rFonts w:eastAsia="Times New Roman" w:cs="Arial"/>
          <w:lang w:eastAsia="en-GB"/>
        </w:rPr>
        <w:t xml:space="preserve">days of the notification, through representation to the </w:t>
      </w:r>
      <w:r>
        <w:rPr>
          <w:rFonts w:eastAsia="Times New Roman" w:cs="Arial"/>
          <w:lang w:eastAsia="en-GB"/>
        </w:rPr>
        <w:t>Director of Learning &amp; Teaching at Harper Adams University</w:t>
      </w:r>
      <w:r w:rsidRPr="008975CB">
        <w:rPr>
          <w:rFonts w:eastAsia="Times New Roman" w:cs="Arial"/>
          <w:lang w:eastAsia="en-GB"/>
        </w:rPr>
        <w:t>, if they remain dissatisfied.</w:t>
      </w:r>
    </w:p>
    <w:p w14:paraId="7F92BC2C" w14:textId="77777777" w:rsidR="008975CB" w:rsidRDefault="008975CB" w:rsidP="008975CB">
      <w:pPr>
        <w:spacing w:after="0" w:line="240" w:lineRule="auto"/>
        <w:ind w:left="720"/>
        <w:rPr>
          <w:rFonts w:eastAsia="Times New Roman" w:cs="Arial"/>
          <w:lang w:eastAsia="en-GB"/>
        </w:rPr>
      </w:pPr>
    </w:p>
    <w:p w14:paraId="3B49EA8E" w14:textId="77777777" w:rsidR="008975CB" w:rsidRPr="008975CB" w:rsidRDefault="008975CB" w:rsidP="008975CB">
      <w:pPr>
        <w:spacing w:after="0" w:line="240" w:lineRule="auto"/>
        <w:ind w:left="720"/>
        <w:rPr>
          <w:rFonts w:eastAsia="Times New Roman" w:cs="Arial"/>
          <w:lang w:eastAsia="en-GB"/>
        </w:rPr>
      </w:pPr>
      <w:r w:rsidRPr="0062484A">
        <w:rPr>
          <w:rFonts w:eastAsia="Times New Roman" w:cs="Arial"/>
          <w:lang w:eastAsia="en-GB"/>
        </w:rPr>
        <w:t>Formal complaint</w:t>
      </w:r>
      <w:r w:rsidR="00033159" w:rsidRPr="0062484A">
        <w:rPr>
          <w:rFonts w:eastAsia="Times New Roman" w:cs="Arial"/>
          <w:lang w:eastAsia="en-GB"/>
        </w:rPr>
        <w:t xml:space="preserve"> outcome</w:t>
      </w:r>
      <w:r w:rsidRPr="0062484A">
        <w:rPr>
          <w:rFonts w:eastAsia="Times New Roman" w:cs="Arial"/>
          <w:lang w:eastAsia="en-GB"/>
        </w:rPr>
        <w:t xml:space="preserve">s are recorded </w:t>
      </w:r>
      <w:r w:rsidR="003051D1" w:rsidRPr="0062484A">
        <w:rPr>
          <w:rFonts w:eastAsia="Times New Roman" w:cs="Arial"/>
          <w:lang w:eastAsia="en-GB"/>
        </w:rPr>
        <w:t xml:space="preserve">by the </w:t>
      </w:r>
      <w:r w:rsidR="00022692">
        <w:rPr>
          <w:rFonts w:eastAsia="Times New Roman" w:cs="Arial"/>
          <w:lang w:eastAsia="en-GB"/>
        </w:rPr>
        <w:t>complaint handler</w:t>
      </w:r>
      <w:r w:rsidR="00A318D8">
        <w:rPr>
          <w:rFonts w:eastAsia="Times New Roman" w:cs="Arial"/>
          <w:lang w:eastAsia="en-GB"/>
        </w:rPr>
        <w:t xml:space="preserve"> </w:t>
      </w:r>
      <w:r w:rsidR="003051D1" w:rsidRPr="0062484A">
        <w:rPr>
          <w:rFonts w:eastAsia="Times New Roman" w:cs="Arial"/>
          <w:lang w:eastAsia="en-GB"/>
        </w:rPr>
        <w:t xml:space="preserve">or nominee </w:t>
      </w:r>
      <w:r w:rsidRPr="0062484A">
        <w:rPr>
          <w:rFonts w:eastAsia="Times New Roman" w:cs="Arial"/>
          <w:lang w:eastAsia="en-GB"/>
        </w:rPr>
        <w:t xml:space="preserve">through copy to the </w:t>
      </w:r>
      <w:hyperlink r:id="rId15" w:history="1">
        <w:r w:rsidRPr="009D4E90">
          <w:rPr>
            <w:rStyle w:val="Hyperlink"/>
            <w:rFonts w:eastAsia="Times New Roman" w:cs="Arial"/>
            <w:lang w:eastAsia="en-GB"/>
          </w:rPr>
          <w:t>studentcomplaints@harper-adams.ac.uk</w:t>
        </w:r>
      </w:hyperlink>
      <w:r w:rsidRPr="009D4E90">
        <w:rPr>
          <w:rFonts w:eastAsia="Times New Roman" w:cs="Arial"/>
          <w:lang w:eastAsia="en-GB"/>
        </w:rPr>
        <w:t xml:space="preserve"> email address</w:t>
      </w:r>
      <w:r w:rsidR="00CC3369" w:rsidRPr="009D4E90">
        <w:rPr>
          <w:rFonts w:eastAsia="Times New Roman" w:cs="Arial"/>
          <w:lang w:eastAsia="en-GB"/>
        </w:rPr>
        <w:t>.</w:t>
      </w:r>
      <w:r w:rsidRPr="009D4E90">
        <w:rPr>
          <w:rFonts w:eastAsia="Times New Roman" w:cs="Arial"/>
          <w:lang w:eastAsia="en-GB"/>
        </w:rPr>
        <w:t xml:space="preserve"> </w:t>
      </w:r>
    </w:p>
    <w:p w14:paraId="1DB82C1E" w14:textId="77777777" w:rsidR="008975CB" w:rsidRDefault="008975CB" w:rsidP="001C186A">
      <w:pPr>
        <w:pStyle w:val="Default"/>
        <w:rPr>
          <w:sz w:val="22"/>
          <w:szCs w:val="22"/>
        </w:rPr>
      </w:pPr>
    </w:p>
    <w:p w14:paraId="3D814F45" w14:textId="77777777" w:rsidR="00EC109A" w:rsidRPr="00EC109A" w:rsidRDefault="001C186A" w:rsidP="007508D3">
      <w:pPr>
        <w:pStyle w:val="ListParagraph"/>
        <w:numPr>
          <w:ilvl w:val="0"/>
          <w:numId w:val="14"/>
        </w:numPr>
        <w:spacing w:after="0" w:line="240" w:lineRule="auto"/>
        <w:rPr>
          <w:rFonts w:cs="Arial"/>
        </w:rPr>
      </w:pPr>
      <w:r w:rsidRPr="00EC109A">
        <w:rPr>
          <w:b/>
        </w:rPr>
        <w:t xml:space="preserve">Stage 3 Complaints review </w:t>
      </w:r>
      <w:r>
        <w:t xml:space="preserve">enables a </w:t>
      </w:r>
      <w:r w:rsidR="00781614">
        <w:t>student SQP</w:t>
      </w:r>
      <w:r>
        <w:t xml:space="preserve"> who remains dissatisfied with the outcome of the formal complaint investigation to request a review of the decision by the </w:t>
      </w:r>
      <w:r w:rsidR="006E78E4" w:rsidRPr="00EC109A">
        <w:rPr>
          <w:rFonts w:eastAsia="Times New Roman" w:cs="Arial"/>
          <w:lang w:eastAsia="en-GB"/>
        </w:rPr>
        <w:t>Director of Learning &amp; Teaching at Harper Adams University</w:t>
      </w:r>
      <w:r w:rsidR="006E78E4">
        <w:t xml:space="preserve">, or nominee. </w:t>
      </w:r>
      <w:r w:rsidR="00EC109A" w:rsidRPr="00EC109A">
        <w:rPr>
          <w:rFonts w:cs="Arial"/>
        </w:rPr>
        <w:t xml:space="preserve">Where a </w:t>
      </w:r>
      <w:r w:rsidR="00781614">
        <w:rPr>
          <w:rFonts w:cs="Arial"/>
        </w:rPr>
        <w:t>student SQP</w:t>
      </w:r>
      <w:r w:rsidR="00EC109A" w:rsidRPr="00EC109A">
        <w:rPr>
          <w:rFonts w:cs="Arial"/>
        </w:rPr>
        <w:t xml:space="preserve"> remains dissatisfied with the outcome of the formal complaint investigations, they are permitted to request a review of the decision on the following grounds, </w:t>
      </w:r>
      <w:r w:rsidR="00EC109A" w:rsidRPr="0062484A">
        <w:rPr>
          <w:rFonts w:cs="Arial"/>
          <w:b/>
        </w:rPr>
        <w:t xml:space="preserve">within </w:t>
      </w:r>
      <w:r w:rsidR="00C3111A" w:rsidRPr="0062484A">
        <w:rPr>
          <w:rFonts w:cs="Arial"/>
          <w:b/>
        </w:rPr>
        <w:t>7</w:t>
      </w:r>
      <w:r w:rsidR="00581963">
        <w:rPr>
          <w:rFonts w:cs="Arial"/>
          <w:b/>
        </w:rPr>
        <w:t xml:space="preserve"> calendar</w:t>
      </w:r>
      <w:r w:rsidR="00C3111A" w:rsidRPr="0062484A">
        <w:rPr>
          <w:rFonts w:cs="Arial"/>
          <w:b/>
        </w:rPr>
        <w:t xml:space="preserve"> </w:t>
      </w:r>
      <w:r w:rsidR="00EC109A" w:rsidRPr="0062484A">
        <w:rPr>
          <w:rFonts w:cs="Arial"/>
          <w:b/>
        </w:rPr>
        <w:t>days</w:t>
      </w:r>
      <w:r w:rsidR="00EC109A" w:rsidRPr="00EC109A">
        <w:rPr>
          <w:rFonts w:cs="Arial"/>
        </w:rPr>
        <w:t xml:space="preserve"> of notification of the second stage complaint outcome: </w:t>
      </w:r>
    </w:p>
    <w:p w14:paraId="24CAD1C6" w14:textId="77777777" w:rsidR="00EC109A" w:rsidRPr="00480541" w:rsidRDefault="00EC109A" w:rsidP="00370CD6">
      <w:pPr>
        <w:pStyle w:val="ListParagraph"/>
        <w:numPr>
          <w:ilvl w:val="0"/>
          <w:numId w:val="11"/>
        </w:numPr>
        <w:spacing w:after="0" w:line="240" w:lineRule="auto"/>
        <w:ind w:left="1077" w:hanging="357"/>
        <w:contextualSpacing w:val="0"/>
        <w:rPr>
          <w:rFonts w:cs="Arial"/>
        </w:rPr>
      </w:pPr>
      <w:r w:rsidRPr="00480541">
        <w:rPr>
          <w:rFonts w:cs="Arial"/>
        </w:rPr>
        <w:t>Appropriate procedures were not followed at the formal complaints stage</w:t>
      </w:r>
    </w:p>
    <w:p w14:paraId="13DE6C41" w14:textId="77777777" w:rsidR="00EC109A" w:rsidRPr="00480541" w:rsidRDefault="00EC109A" w:rsidP="00370CD6">
      <w:pPr>
        <w:pStyle w:val="ListParagraph"/>
        <w:numPr>
          <w:ilvl w:val="0"/>
          <w:numId w:val="11"/>
        </w:numPr>
        <w:spacing w:after="0" w:line="240" w:lineRule="auto"/>
        <w:ind w:left="1077" w:hanging="357"/>
        <w:contextualSpacing w:val="0"/>
        <w:rPr>
          <w:rFonts w:cs="Arial"/>
        </w:rPr>
      </w:pPr>
      <w:r w:rsidRPr="00480541">
        <w:rPr>
          <w:rFonts w:cs="Arial"/>
        </w:rPr>
        <w:t>T</w:t>
      </w:r>
      <w:r>
        <w:rPr>
          <w:rFonts w:cs="Arial"/>
        </w:rPr>
        <w:t>he outcome was not reasonable</w:t>
      </w:r>
    </w:p>
    <w:p w14:paraId="56EBAC7D" w14:textId="77777777" w:rsidR="00EC109A" w:rsidRPr="00480541" w:rsidRDefault="00EC109A" w:rsidP="00370CD6">
      <w:pPr>
        <w:pStyle w:val="ListParagraph"/>
        <w:numPr>
          <w:ilvl w:val="0"/>
          <w:numId w:val="11"/>
        </w:numPr>
        <w:spacing w:after="0" w:line="240" w:lineRule="auto"/>
        <w:ind w:left="1077" w:hanging="357"/>
        <w:contextualSpacing w:val="0"/>
        <w:rPr>
          <w:rFonts w:cs="Arial"/>
        </w:rPr>
      </w:pPr>
      <w:r w:rsidRPr="00480541">
        <w:rPr>
          <w:rFonts w:cs="Arial"/>
        </w:rPr>
        <w:t xml:space="preserve">New material evidence is presented which the </w:t>
      </w:r>
      <w:r w:rsidR="00781614">
        <w:rPr>
          <w:rFonts w:cs="Arial"/>
        </w:rPr>
        <w:t>student SQP</w:t>
      </w:r>
      <w:r w:rsidRPr="00480541">
        <w:rPr>
          <w:rFonts w:cs="Arial"/>
        </w:rPr>
        <w:t xml:space="preserve"> was unable, for valid </w:t>
      </w:r>
      <w:r>
        <w:rPr>
          <w:rFonts w:cs="Arial"/>
        </w:rPr>
        <w:t xml:space="preserve">and evidenced </w:t>
      </w:r>
      <w:r w:rsidRPr="00480541">
        <w:rPr>
          <w:rFonts w:cs="Arial"/>
        </w:rPr>
        <w:t>reasons, to provide at the formal stage.</w:t>
      </w:r>
    </w:p>
    <w:p w14:paraId="2A451E10" w14:textId="77777777" w:rsidR="006E78E4" w:rsidRDefault="006E78E4" w:rsidP="00370CD6">
      <w:pPr>
        <w:spacing w:after="0" w:line="240" w:lineRule="auto"/>
      </w:pPr>
    </w:p>
    <w:p w14:paraId="389F1FCF" w14:textId="77777777" w:rsidR="00EC109A" w:rsidRDefault="00EC109A" w:rsidP="00370CD6">
      <w:pPr>
        <w:pStyle w:val="ListParagraph"/>
        <w:spacing w:after="0" w:line="240" w:lineRule="auto"/>
        <w:ind w:left="360"/>
        <w:rPr>
          <w:rFonts w:cs="Arial"/>
        </w:rPr>
      </w:pPr>
      <w:r w:rsidRPr="00252F96">
        <w:rPr>
          <w:rFonts w:cs="Arial"/>
        </w:rPr>
        <w:t xml:space="preserve">The </w:t>
      </w:r>
      <w:r w:rsidR="00781614">
        <w:rPr>
          <w:rFonts w:cs="Arial"/>
        </w:rPr>
        <w:t>student SQP</w:t>
      </w:r>
      <w:r w:rsidRPr="00252F96">
        <w:rPr>
          <w:rFonts w:cs="Arial"/>
        </w:rPr>
        <w:t xml:space="preserve"> should submit a letter </w:t>
      </w:r>
      <w:r>
        <w:rPr>
          <w:rFonts w:cs="Arial"/>
        </w:rPr>
        <w:t xml:space="preserve">using the </w:t>
      </w:r>
      <w:hyperlink r:id="rId16" w:history="1">
        <w:r w:rsidR="003051D1" w:rsidRPr="000C29AE">
          <w:rPr>
            <w:rStyle w:val="Hyperlink"/>
            <w:rFonts w:cs="Arial"/>
          </w:rPr>
          <w:t>studentcomplaints@harper-adams.ac.uk</w:t>
        </w:r>
      </w:hyperlink>
      <w:r w:rsidR="003051D1">
        <w:rPr>
          <w:rFonts w:cs="Arial"/>
        </w:rPr>
        <w:t xml:space="preserve"> </w:t>
      </w:r>
      <w:r>
        <w:rPr>
          <w:rFonts w:cs="Arial"/>
        </w:rPr>
        <w:t xml:space="preserve">email </w:t>
      </w:r>
      <w:r w:rsidRPr="009D4E90">
        <w:rPr>
          <w:rFonts w:cs="Arial"/>
        </w:rPr>
        <w:t>address</w:t>
      </w:r>
      <w:r w:rsidR="009D4E90" w:rsidRPr="009D4E90">
        <w:rPr>
          <w:rFonts w:cs="Arial"/>
        </w:rPr>
        <w:t xml:space="preserve"> </w:t>
      </w:r>
      <w:r w:rsidR="003051D1">
        <w:rPr>
          <w:rFonts w:cs="Arial"/>
        </w:rPr>
        <w:t xml:space="preserve">setting </w:t>
      </w:r>
      <w:r>
        <w:rPr>
          <w:rFonts w:cs="Arial"/>
        </w:rPr>
        <w:t xml:space="preserve">out </w:t>
      </w:r>
      <w:r w:rsidRPr="00252F96">
        <w:rPr>
          <w:rFonts w:cs="Arial"/>
        </w:rPr>
        <w:t xml:space="preserve">the basis on which they are requesting that the decision be reviewed, including a copy of the formal complaint outcome notification.  </w:t>
      </w:r>
      <w:r>
        <w:rPr>
          <w:rFonts w:cs="Arial"/>
        </w:rPr>
        <w:t>The Director of Learning &amp; Teaching</w:t>
      </w:r>
      <w:r w:rsidRPr="00252F96">
        <w:rPr>
          <w:rFonts w:cs="Arial"/>
        </w:rPr>
        <w:t>, or nominee, will consider the request to review the outcome and provide the outcome of any review</w:t>
      </w:r>
      <w:r>
        <w:rPr>
          <w:rFonts w:cs="Arial"/>
        </w:rPr>
        <w:t xml:space="preserve"> normally </w:t>
      </w:r>
      <w:r w:rsidRPr="00325BCC">
        <w:rPr>
          <w:rFonts w:cs="Arial"/>
          <w:b/>
        </w:rPr>
        <w:t>within 20</w:t>
      </w:r>
      <w:r w:rsidR="00581963">
        <w:rPr>
          <w:rFonts w:cs="Arial"/>
          <w:b/>
        </w:rPr>
        <w:t xml:space="preserve"> calendar </w:t>
      </w:r>
      <w:r w:rsidRPr="00325BCC">
        <w:rPr>
          <w:rFonts w:cs="Arial"/>
          <w:b/>
        </w:rPr>
        <w:t>days</w:t>
      </w:r>
      <w:r w:rsidRPr="00252F96">
        <w:rPr>
          <w:rFonts w:cs="Arial"/>
        </w:rPr>
        <w:t xml:space="preserve"> of receipt of the written request.  Where the review request is received after the deadline for doing so, and there are no mitigating circumstances for lateness, the review request will be rejected</w:t>
      </w:r>
      <w:r w:rsidR="003051D1">
        <w:rPr>
          <w:rFonts w:cs="Arial"/>
        </w:rPr>
        <w:t xml:space="preserve"> and a Completion of Procedures letter will be issued</w:t>
      </w:r>
      <w:r w:rsidRPr="00252F96">
        <w:rPr>
          <w:rFonts w:cs="Arial"/>
        </w:rPr>
        <w:t xml:space="preserve">.  </w:t>
      </w:r>
    </w:p>
    <w:p w14:paraId="4B94136D" w14:textId="77777777" w:rsidR="00EC109A" w:rsidRDefault="00EC109A" w:rsidP="00EC109A">
      <w:pPr>
        <w:pStyle w:val="ListParagraph"/>
        <w:spacing w:line="240" w:lineRule="auto"/>
        <w:ind w:left="360"/>
        <w:rPr>
          <w:rFonts w:cs="Arial"/>
        </w:rPr>
      </w:pPr>
    </w:p>
    <w:p w14:paraId="0ABA2487" w14:textId="2B362478" w:rsidR="00EC109A" w:rsidRDefault="00EC109A" w:rsidP="00EC109A">
      <w:pPr>
        <w:pStyle w:val="ListParagraph"/>
        <w:spacing w:after="0" w:line="240" w:lineRule="auto"/>
        <w:ind w:left="360"/>
        <w:rPr>
          <w:rFonts w:cs="Arial"/>
        </w:rPr>
      </w:pPr>
      <w:r w:rsidRPr="00252F96">
        <w:rPr>
          <w:rFonts w:cs="Arial"/>
        </w:rPr>
        <w:t xml:space="preserve">The </w:t>
      </w:r>
      <w:r w:rsidRPr="00EC109A">
        <w:rPr>
          <w:rFonts w:cs="Arial"/>
        </w:rPr>
        <w:t>Director of Learning &amp; Teaching</w:t>
      </w:r>
      <w:r w:rsidRPr="00252F96">
        <w:rPr>
          <w:rFonts w:cs="Arial"/>
        </w:rPr>
        <w:t xml:space="preserve">, or nominee, will </w:t>
      </w:r>
      <w:r>
        <w:rPr>
          <w:rFonts w:cs="Arial"/>
        </w:rPr>
        <w:t xml:space="preserve">investigate the claim(s) made and provide a definitive outcome, detailed as set out in </w:t>
      </w:r>
      <w:r w:rsidRPr="00325BCC">
        <w:rPr>
          <w:rFonts w:cs="Arial"/>
        </w:rPr>
        <w:t>paragraph</w:t>
      </w:r>
      <w:r>
        <w:rPr>
          <w:rFonts w:cs="Arial"/>
        </w:rPr>
        <w:t xml:space="preserve"> 1</w:t>
      </w:r>
      <w:r w:rsidR="00022692">
        <w:rPr>
          <w:rFonts w:cs="Arial"/>
        </w:rPr>
        <w:t>7</w:t>
      </w:r>
      <w:r>
        <w:rPr>
          <w:rFonts w:cs="Arial"/>
        </w:rPr>
        <w:t xml:space="preserve">, with the exception of referral to the third, internal review, stage.   On completion of any review and outcome conclusion, they will request </w:t>
      </w:r>
      <w:r w:rsidRPr="009D4E90">
        <w:rPr>
          <w:rFonts w:cs="Arial"/>
        </w:rPr>
        <w:t>the Director of Academic Services to issue a Completion of Procedures</w:t>
      </w:r>
      <w:r w:rsidRPr="00CC3369">
        <w:rPr>
          <w:rFonts w:cs="Arial"/>
        </w:rPr>
        <w:t xml:space="preserve"> l</w:t>
      </w:r>
      <w:r w:rsidRPr="00252F96">
        <w:rPr>
          <w:rFonts w:cs="Arial"/>
        </w:rPr>
        <w:t xml:space="preserve">etter at the conclusion of the internal proceedings.  </w:t>
      </w:r>
      <w:r>
        <w:rPr>
          <w:rFonts w:cs="Arial"/>
        </w:rPr>
        <w:t>Such a letter</w:t>
      </w:r>
      <w:r w:rsidRPr="00252F96">
        <w:rPr>
          <w:rFonts w:cs="Arial"/>
        </w:rPr>
        <w:t xml:space="preserve"> will also advise the </w:t>
      </w:r>
      <w:r w:rsidR="00781614">
        <w:rPr>
          <w:rFonts w:cs="Arial"/>
        </w:rPr>
        <w:t>student SQP</w:t>
      </w:r>
      <w:r w:rsidRPr="00252F96">
        <w:rPr>
          <w:rFonts w:cs="Arial"/>
        </w:rPr>
        <w:t xml:space="preserve"> of the arrangements by which they might raise a complaint with the Office for the Independent Adjudicator </w:t>
      </w:r>
      <w:r>
        <w:rPr>
          <w:rFonts w:cs="Arial"/>
        </w:rPr>
        <w:t xml:space="preserve">(OIA) </w:t>
      </w:r>
      <w:r w:rsidRPr="00252F96">
        <w:rPr>
          <w:rFonts w:cs="Arial"/>
        </w:rPr>
        <w:t>if they remain dissatisfied.</w:t>
      </w:r>
    </w:p>
    <w:p w14:paraId="2218000C" w14:textId="77777777" w:rsidR="00EC5BD8" w:rsidRDefault="00EC5BD8" w:rsidP="00EC109A">
      <w:pPr>
        <w:pStyle w:val="ListParagraph"/>
        <w:spacing w:after="0" w:line="240" w:lineRule="auto"/>
        <w:ind w:left="360"/>
        <w:rPr>
          <w:rFonts w:cs="Arial"/>
        </w:rPr>
      </w:pPr>
    </w:p>
    <w:p w14:paraId="17B211E9" w14:textId="1B44875D" w:rsidR="001272D9" w:rsidRPr="002C156D" w:rsidRDefault="00D21C1C" w:rsidP="002C156D">
      <w:pPr>
        <w:pStyle w:val="Heading1"/>
      </w:pPr>
      <w:bookmarkStart w:id="23" w:name="_Toc514666128"/>
      <w:bookmarkStart w:id="24" w:name="_Toc21525831"/>
      <w:r w:rsidRPr="00577D5F">
        <w:t>Completion of procedures and recourse to independent, external review</w:t>
      </w:r>
      <w:bookmarkEnd w:id="23"/>
      <w:bookmarkEnd w:id="24"/>
    </w:p>
    <w:p w14:paraId="2565D982" w14:textId="77777777" w:rsidR="00EC5BD8" w:rsidRDefault="00D21C1C" w:rsidP="007508D3">
      <w:pPr>
        <w:pStyle w:val="ListParagraph"/>
        <w:numPr>
          <w:ilvl w:val="0"/>
          <w:numId w:val="14"/>
        </w:numPr>
        <w:spacing w:after="0" w:line="240" w:lineRule="auto"/>
        <w:rPr>
          <w:rFonts w:cs="Arial"/>
        </w:rPr>
      </w:pPr>
      <w:r>
        <w:rPr>
          <w:rFonts w:cs="Arial"/>
        </w:rPr>
        <w:t xml:space="preserve">Once the University’s complaints procedure has been exhausted, the </w:t>
      </w:r>
      <w:r w:rsidR="00781614">
        <w:rPr>
          <w:rFonts w:cs="Arial"/>
        </w:rPr>
        <w:t>student SQP</w:t>
      </w:r>
      <w:r>
        <w:rPr>
          <w:rFonts w:cs="Arial"/>
        </w:rPr>
        <w:t xml:space="preserve"> will be issued with a Completion of Procedures letter, which confirms that University’s internal procedures are concluded. They are advised to contact the Office of the Independent Adjudicator (OIA) for Higher Education if they are dissatisfied with the outcome of the final stage of the complaints procedure, using the prescribed wording set out on the OIA’s website </w:t>
      </w:r>
      <w:hyperlink r:id="rId17" w:history="1">
        <w:r w:rsidRPr="0079158C">
          <w:rPr>
            <w:rStyle w:val="Hyperlink"/>
            <w:rFonts w:cs="Arial"/>
          </w:rPr>
          <w:t>http://www.oiahe.org.uk</w:t>
        </w:r>
      </w:hyperlink>
      <w:r>
        <w:rPr>
          <w:rFonts w:cs="Arial"/>
        </w:rPr>
        <w:t xml:space="preserve">). The OIA will determine whether the </w:t>
      </w:r>
      <w:r w:rsidR="00781614">
        <w:rPr>
          <w:rFonts w:cs="Arial"/>
        </w:rPr>
        <w:t>student SQP</w:t>
      </w:r>
      <w:r>
        <w:rPr>
          <w:rFonts w:cs="Arial"/>
        </w:rPr>
        <w:t>’s complaint is eligible for consideration under its rules.</w:t>
      </w:r>
    </w:p>
    <w:p w14:paraId="4F561D1A" w14:textId="77777777" w:rsidR="00EC5BD8" w:rsidRPr="00252F96" w:rsidRDefault="00EC5BD8" w:rsidP="00EC109A">
      <w:pPr>
        <w:pStyle w:val="ListParagraph"/>
        <w:spacing w:after="0" w:line="240" w:lineRule="auto"/>
        <w:ind w:left="360"/>
        <w:rPr>
          <w:rFonts w:cs="Arial"/>
        </w:rPr>
      </w:pPr>
    </w:p>
    <w:p w14:paraId="35A75639" w14:textId="77777777" w:rsidR="00EC109A" w:rsidRPr="00EC109A" w:rsidRDefault="00EC109A" w:rsidP="00A74814">
      <w:pPr>
        <w:pStyle w:val="Heading1"/>
      </w:pPr>
      <w:bookmarkStart w:id="25" w:name="_Toc21525832"/>
      <w:r w:rsidRPr="00EC109A">
        <w:t>Maintaining confidentiality</w:t>
      </w:r>
      <w:bookmarkEnd w:id="25"/>
    </w:p>
    <w:p w14:paraId="712A22DA" w14:textId="77777777" w:rsidR="00EC109A" w:rsidRDefault="00EC109A" w:rsidP="007508D3">
      <w:pPr>
        <w:pStyle w:val="ListParagraph"/>
        <w:numPr>
          <w:ilvl w:val="0"/>
          <w:numId w:val="14"/>
        </w:numPr>
        <w:spacing w:after="0" w:line="240" w:lineRule="auto"/>
      </w:pPr>
      <w:r>
        <w:t>Confidentiality is an important factor in conduct</w:t>
      </w:r>
      <w:r w:rsidR="004C56C4">
        <w:t xml:space="preserve">ing complaints investigations. </w:t>
      </w:r>
      <w:r w:rsidR="00A318D8">
        <w:t xml:space="preserve"> AMTRA </w:t>
      </w:r>
      <w:r w:rsidR="00A366A4">
        <w:t>and Harper Adams</w:t>
      </w:r>
      <w:r>
        <w:t xml:space="preserve"> University will always have regard to any legislative requirements; for example, data protection legislation and policies on confidentiality and the use of complainant information.  Complaints will be handled with an appropriate level of confidentiality and information released only to those who need it for the purposes of investigating or responding to the complaint.  No third party will be told any more about the investigation than is strictly necessary in order to obtain the information required from them.</w:t>
      </w:r>
    </w:p>
    <w:p w14:paraId="7887F2D0" w14:textId="77777777" w:rsidR="00EC109A" w:rsidRDefault="00EC109A" w:rsidP="00EC109A">
      <w:pPr>
        <w:pStyle w:val="ListParagraph"/>
        <w:spacing w:after="0" w:line="240" w:lineRule="auto"/>
        <w:ind w:left="360"/>
      </w:pPr>
    </w:p>
    <w:p w14:paraId="127B0BE1" w14:textId="77777777" w:rsidR="00EC109A" w:rsidRDefault="00EC109A" w:rsidP="007508D3">
      <w:pPr>
        <w:pStyle w:val="ListParagraph"/>
        <w:numPr>
          <w:ilvl w:val="0"/>
          <w:numId w:val="14"/>
        </w:numPr>
        <w:spacing w:after="0" w:line="240" w:lineRule="auto"/>
      </w:pPr>
      <w:r>
        <w:t>Where a complaint has been raised against a student or member of staff and has been upheld, the complainant will be advised of this.  However, it would not be appropriate to share specific details affecting specific students or staff members, particularly where disciplinary action is taken.</w:t>
      </w:r>
    </w:p>
    <w:p w14:paraId="15836306" w14:textId="77777777" w:rsidR="008F7D04" w:rsidRDefault="008F7D04" w:rsidP="00193207">
      <w:pPr>
        <w:spacing w:after="0" w:line="240" w:lineRule="auto"/>
      </w:pPr>
    </w:p>
    <w:p w14:paraId="6C7A9E11" w14:textId="77777777" w:rsidR="008F7D04" w:rsidRDefault="00F62117" w:rsidP="00A74814">
      <w:pPr>
        <w:pStyle w:val="Heading1"/>
      </w:pPr>
      <w:bookmarkStart w:id="26" w:name="_Toc21525833"/>
      <w:r w:rsidRPr="00E473CC">
        <w:t>Data security</w:t>
      </w:r>
      <w:r w:rsidR="00E31125">
        <w:t xml:space="preserve"> and records retention</w:t>
      </w:r>
      <w:bookmarkEnd w:id="26"/>
    </w:p>
    <w:p w14:paraId="4F703348" w14:textId="77777777" w:rsidR="00F62117" w:rsidRPr="00E473CC" w:rsidRDefault="00E31125" w:rsidP="007508D3">
      <w:pPr>
        <w:pStyle w:val="ListParagraph"/>
        <w:numPr>
          <w:ilvl w:val="0"/>
          <w:numId w:val="14"/>
        </w:numPr>
        <w:spacing w:after="0" w:line="240" w:lineRule="auto"/>
        <w:rPr>
          <w:u w:val="single"/>
        </w:rPr>
      </w:pPr>
      <w:r>
        <w:t>Records of complaints will be retained for a period of 18 months, following the conclusion of study, or 15 months from the issue date of a Completion of Procedure letter, whichever is the longer, for the purpose of addressing any complaints or appeals.  This allows the University to align itself with the current OIA complaints process.</w:t>
      </w:r>
    </w:p>
    <w:p w14:paraId="1E6C430D" w14:textId="77777777" w:rsidR="00E31125" w:rsidRPr="00E473CC" w:rsidRDefault="00E31125" w:rsidP="00E473CC">
      <w:pPr>
        <w:pStyle w:val="ListParagraph"/>
        <w:spacing w:after="0" w:line="240" w:lineRule="auto"/>
        <w:ind w:left="360"/>
        <w:rPr>
          <w:u w:val="single"/>
        </w:rPr>
      </w:pPr>
    </w:p>
    <w:p w14:paraId="3A5500CC" w14:textId="77777777" w:rsidR="00E31125" w:rsidRPr="00E473CC" w:rsidRDefault="00E31125" w:rsidP="007508D3">
      <w:pPr>
        <w:pStyle w:val="ListParagraph"/>
        <w:numPr>
          <w:ilvl w:val="0"/>
          <w:numId w:val="14"/>
        </w:numPr>
        <w:spacing w:after="0" w:line="240" w:lineRule="auto"/>
        <w:rPr>
          <w:u w:val="single"/>
        </w:rPr>
      </w:pPr>
      <w:r>
        <w:t xml:space="preserve">For </w:t>
      </w:r>
      <w:r w:rsidR="00781614">
        <w:t>student SQP</w:t>
      </w:r>
      <w:r>
        <w:t>s where a dispute is ongoing or is in reasonable contemplation for which there is a statutory limitation period, the records relating to the issue in dispute will be kept for the relevant statutory limitation period.</w:t>
      </w:r>
    </w:p>
    <w:p w14:paraId="6A0C58FD" w14:textId="77777777" w:rsidR="00D9762B" w:rsidRDefault="00D9762B" w:rsidP="00864851">
      <w:pPr>
        <w:sectPr w:rsidR="00D9762B" w:rsidSect="00EC5BD8">
          <w:headerReference w:type="default" r:id="rId18"/>
          <w:footerReference w:type="default" r:id="rId19"/>
          <w:pgSz w:w="11906" w:h="16838"/>
          <w:pgMar w:top="1440" w:right="1440" w:bottom="1440" w:left="1440" w:header="708" w:footer="567" w:gutter="0"/>
          <w:cols w:space="708"/>
          <w:docGrid w:linePitch="360"/>
        </w:sectPr>
      </w:pPr>
    </w:p>
    <w:p w14:paraId="76BEDBAA" w14:textId="77777777" w:rsidR="00864851" w:rsidRPr="00D9762B" w:rsidRDefault="00D9762B" w:rsidP="002063F8">
      <w:pPr>
        <w:pStyle w:val="Style1"/>
      </w:pPr>
      <w:bookmarkStart w:id="27" w:name="_Toc514666129"/>
      <w:r w:rsidRPr="00D9762B">
        <w:t xml:space="preserve">Annex </w:t>
      </w:r>
      <w:r w:rsidR="00577D5F">
        <w:t>1</w:t>
      </w:r>
      <w:r w:rsidRPr="00D9762B">
        <w:t xml:space="preserve"> – Stage 2 Formal Complaints Form</w:t>
      </w:r>
      <w:bookmarkEnd w:id="27"/>
    </w:p>
    <w:p w14:paraId="12FE0F55" w14:textId="77777777" w:rsidR="00D9762B" w:rsidRPr="009E02A3" w:rsidRDefault="00D9762B" w:rsidP="00D9762B">
      <w:pPr>
        <w:spacing w:line="240" w:lineRule="auto"/>
        <w:rPr>
          <w:rFonts w:eastAsia="Calibri"/>
        </w:rPr>
      </w:pPr>
      <w:r w:rsidRPr="009E02A3">
        <w:rPr>
          <w:rFonts w:eastAsia="Calibri"/>
        </w:rPr>
        <w:t>The form will expand if you need to type more words</w:t>
      </w:r>
    </w:p>
    <w:tbl>
      <w:tblPr>
        <w:tblStyle w:val="TableGrid"/>
        <w:tblW w:w="15134" w:type="dxa"/>
        <w:tblLook w:val="04A0" w:firstRow="1" w:lastRow="0" w:firstColumn="1" w:lastColumn="0" w:noHBand="0" w:noVBand="1"/>
      </w:tblPr>
      <w:tblGrid>
        <w:gridCol w:w="2660"/>
        <w:gridCol w:w="9497"/>
        <w:gridCol w:w="2977"/>
      </w:tblGrid>
      <w:tr w:rsidR="00D9762B" w:rsidRPr="009E02A3" w14:paraId="66D25CBA" w14:textId="77777777" w:rsidTr="00781614">
        <w:tc>
          <w:tcPr>
            <w:tcW w:w="15134" w:type="dxa"/>
            <w:gridSpan w:val="3"/>
            <w:shd w:val="clear" w:color="auto" w:fill="D9D9D9" w:themeFill="background1" w:themeFillShade="D9"/>
          </w:tcPr>
          <w:p w14:paraId="379EEC0C" w14:textId="77777777" w:rsidR="00D9762B" w:rsidRPr="009E02A3" w:rsidRDefault="00781614" w:rsidP="00650A5C">
            <w:pPr>
              <w:jc w:val="center"/>
              <w:rPr>
                <w:rFonts w:eastAsia="Calibri"/>
              </w:rPr>
            </w:pPr>
            <w:r>
              <w:rPr>
                <w:rFonts w:eastAsia="Calibri"/>
              </w:rPr>
              <w:t>Student SQP</w:t>
            </w:r>
            <w:r w:rsidR="00D9762B" w:rsidRPr="009E02A3">
              <w:rPr>
                <w:rFonts w:eastAsia="Calibri"/>
              </w:rPr>
              <w:t>’s details</w:t>
            </w:r>
          </w:p>
        </w:tc>
      </w:tr>
      <w:tr w:rsidR="00D9762B" w:rsidRPr="009E02A3" w14:paraId="1ABF3E0D" w14:textId="77777777" w:rsidTr="00781614">
        <w:tc>
          <w:tcPr>
            <w:tcW w:w="2660" w:type="dxa"/>
            <w:shd w:val="clear" w:color="auto" w:fill="auto"/>
          </w:tcPr>
          <w:p w14:paraId="2F3C39A4" w14:textId="77777777" w:rsidR="00D9762B" w:rsidRPr="009E02A3" w:rsidRDefault="00650A5C" w:rsidP="00D9762B">
            <w:pPr>
              <w:rPr>
                <w:rFonts w:eastAsia="Calibri"/>
              </w:rPr>
            </w:pPr>
            <w:r>
              <w:rPr>
                <w:rFonts w:eastAsia="Calibri"/>
              </w:rPr>
              <w:t>N</w:t>
            </w:r>
            <w:r w:rsidR="00D9762B" w:rsidRPr="009E02A3">
              <w:rPr>
                <w:rFonts w:eastAsia="Calibri"/>
              </w:rPr>
              <w:t>ame</w:t>
            </w:r>
          </w:p>
        </w:tc>
        <w:tc>
          <w:tcPr>
            <w:tcW w:w="12474" w:type="dxa"/>
            <w:gridSpan w:val="2"/>
            <w:shd w:val="clear" w:color="auto" w:fill="auto"/>
          </w:tcPr>
          <w:p w14:paraId="347C1BE6" w14:textId="77777777" w:rsidR="00D9762B" w:rsidRPr="009E02A3" w:rsidRDefault="00D9762B" w:rsidP="00781614">
            <w:pPr>
              <w:rPr>
                <w:rFonts w:eastAsia="Calibri"/>
              </w:rPr>
            </w:pPr>
          </w:p>
          <w:p w14:paraId="18471FCC" w14:textId="77777777" w:rsidR="00D9762B" w:rsidRPr="009E02A3" w:rsidRDefault="00D9762B" w:rsidP="00781614">
            <w:pPr>
              <w:rPr>
                <w:rFonts w:eastAsia="Calibri"/>
              </w:rPr>
            </w:pPr>
          </w:p>
          <w:p w14:paraId="7B9B9565" w14:textId="77777777" w:rsidR="00D9762B" w:rsidRPr="009E02A3" w:rsidRDefault="00D9762B" w:rsidP="00781614">
            <w:pPr>
              <w:rPr>
                <w:rFonts w:eastAsia="Calibri"/>
              </w:rPr>
            </w:pPr>
          </w:p>
        </w:tc>
      </w:tr>
      <w:tr w:rsidR="00D9762B" w:rsidRPr="009E02A3" w14:paraId="586870AD" w14:textId="77777777" w:rsidTr="00781614">
        <w:tc>
          <w:tcPr>
            <w:tcW w:w="2660" w:type="dxa"/>
            <w:shd w:val="clear" w:color="auto" w:fill="auto"/>
          </w:tcPr>
          <w:p w14:paraId="35BC4407" w14:textId="5D5D014A" w:rsidR="00D9762B" w:rsidRPr="009E02A3" w:rsidRDefault="00923A29" w:rsidP="00FA69EE">
            <w:pPr>
              <w:jc w:val="left"/>
              <w:rPr>
                <w:rFonts w:eastAsia="Calibri"/>
              </w:rPr>
            </w:pPr>
            <w:r>
              <w:rPr>
                <w:rFonts w:eastAsia="Calibri"/>
              </w:rPr>
              <w:t>AMTRA student SQP number</w:t>
            </w:r>
            <w:r w:rsidRPr="009E02A3">
              <w:rPr>
                <w:rFonts w:eastAsia="Calibri"/>
              </w:rPr>
              <w:t xml:space="preserve"> </w:t>
            </w:r>
          </w:p>
        </w:tc>
        <w:tc>
          <w:tcPr>
            <w:tcW w:w="12474" w:type="dxa"/>
            <w:gridSpan w:val="2"/>
            <w:shd w:val="clear" w:color="auto" w:fill="auto"/>
          </w:tcPr>
          <w:p w14:paraId="128A8914" w14:textId="77777777" w:rsidR="00D9762B" w:rsidRPr="009E02A3" w:rsidRDefault="00D9762B" w:rsidP="00781614">
            <w:pPr>
              <w:rPr>
                <w:rFonts w:eastAsia="Calibri"/>
              </w:rPr>
            </w:pPr>
          </w:p>
          <w:p w14:paraId="67B97125" w14:textId="77777777" w:rsidR="00D9762B" w:rsidRPr="009E02A3" w:rsidRDefault="00D9762B" w:rsidP="00781614">
            <w:pPr>
              <w:rPr>
                <w:rFonts w:eastAsia="Calibri"/>
              </w:rPr>
            </w:pPr>
          </w:p>
          <w:p w14:paraId="50369113" w14:textId="77777777" w:rsidR="00D9762B" w:rsidRPr="009E02A3" w:rsidRDefault="00D9762B" w:rsidP="00781614">
            <w:pPr>
              <w:rPr>
                <w:rFonts w:eastAsia="Calibri"/>
              </w:rPr>
            </w:pPr>
          </w:p>
        </w:tc>
      </w:tr>
      <w:tr w:rsidR="00D9762B" w:rsidRPr="009E02A3" w14:paraId="69D664B5" w14:textId="77777777" w:rsidTr="00781614">
        <w:tc>
          <w:tcPr>
            <w:tcW w:w="15134" w:type="dxa"/>
            <w:gridSpan w:val="3"/>
            <w:shd w:val="clear" w:color="auto" w:fill="D9D9D9" w:themeFill="background1" w:themeFillShade="D9"/>
          </w:tcPr>
          <w:p w14:paraId="17B730C3" w14:textId="77777777" w:rsidR="00D9762B" w:rsidRPr="009E02A3" w:rsidRDefault="00D9762B" w:rsidP="00781614">
            <w:pPr>
              <w:jc w:val="center"/>
              <w:rPr>
                <w:rFonts w:eastAsia="Calibri"/>
              </w:rPr>
            </w:pPr>
            <w:r w:rsidRPr="009E02A3">
              <w:rPr>
                <w:rFonts w:eastAsia="Calibri"/>
              </w:rPr>
              <w:t>Outcome of Stage 1 E</w:t>
            </w:r>
            <w:r>
              <w:rPr>
                <w:rFonts w:eastAsia="Calibri"/>
              </w:rPr>
              <w:t xml:space="preserve">arly Resolution Complaint </w:t>
            </w:r>
          </w:p>
        </w:tc>
      </w:tr>
      <w:tr w:rsidR="00D9762B" w:rsidRPr="009E02A3" w14:paraId="78787D27" w14:textId="77777777" w:rsidTr="00781614">
        <w:trPr>
          <w:trHeight w:val="587"/>
        </w:trPr>
        <w:tc>
          <w:tcPr>
            <w:tcW w:w="12157" w:type="dxa"/>
            <w:gridSpan w:val="2"/>
            <w:shd w:val="clear" w:color="auto" w:fill="auto"/>
          </w:tcPr>
          <w:p w14:paraId="60E2529D" w14:textId="77777777" w:rsidR="00D9762B" w:rsidRPr="009E02A3" w:rsidRDefault="00D9762B" w:rsidP="00781614">
            <w:pPr>
              <w:rPr>
                <w:rFonts w:eastAsia="Calibri"/>
              </w:rPr>
            </w:pPr>
            <w:r>
              <w:rPr>
                <w:rFonts w:eastAsia="Calibri"/>
              </w:rPr>
              <w:t>Please append the written outcome of your stage 1 complaint, including when you made the informal complaint, who dealt with it and the outcome of that complaint.</w:t>
            </w:r>
          </w:p>
        </w:tc>
        <w:tc>
          <w:tcPr>
            <w:tcW w:w="2977" w:type="dxa"/>
            <w:shd w:val="clear" w:color="auto" w:fill="auto"/>
          </w:tcPr>
          <w:p w14:paraId="65882939" w14:textId="77777777" w:rsidR="00D9762B" w:rsidRDefault="00D9762B" w:rsidP="00781614">
            <w:pPr>
              <w:rPr>
                <w:rFonts w:eastAsia="Calibri"/>
              </w:rPr>
            </w:pPr>
            <w:r>
              <w:rPr>
                <w:rFonts w:eastAsia="Calibri"/>
              </w:rPr>
              <w:t xml:space="preserve">Tick </w:t>
            </w:r>
            <w:r w:rsidR="00F708AA">
              <w:rPr>
                <w:rFonts w:eastAsia="Calibri"/>
              </w:rPr>
              <w:t>to confirm outcome of S</w:t>
            </w:r>
            <w:r>
              <w:rPr>
                <w:rFonts w:eastAsia="Calibri"/>
              </w:rPr>
              <w:t>tage 1 complaint appended</w:t>
            </w:r>
          </w:p>
          <w:p w14:paraId="33A267E5" w14:textId="77777777" w:rsidR="00D9762B" w:rsidRPr="009E02A3" w:rsidRDefault="00D9762B" w:rsidP="00781614">
            <w:pPr>
              <w:rPr>
                <w:rFonts w:eastAsia="Calibri"/>
              </w:rPr>
            </w:pPr>
          </w:p>
        </w:tc>
      </w:tr>
      <w:tr w:rsidR="00D9762B" w:rsidRPr="009E02A3" w14:paraId="6367A99E" w14:textId="77777777" w:rsidTr="00781614">
        <w:tc>
          <w:tcPr>
            <w:tcW w:w="2660" w:type="dxa"/>
            <w:shd w:val="clear" w:color="auto" w:fill="auto"/>
          </w:tcPr>
          <w:p w14:paraId="41662D84" w14:textId="77777777" w:rsidR="00D9762B" w:rsidRDefault="00D9762B" w:rsidP="00F708AA">
            <w:pPr>
              <w:rPr>
                <w:rFonts w:eastAsia="Calibri"/>
              </w:rPr>
            </w:pPr>
            <w:r>
              <w:rPr>
                <w:rFonts w:eastAsia="Calibri"/>
              </w:rPr>
              <w:t xml:space="preserve">Please explain why you are not satisfied with the outcome of the </w:t>
            </w:r>
            <w:r w:rsidR="00F708AA">
              <w:rPr>
                <w:rFonts w:eastAsia="Calibri"/>
              </w:rPr>
              <w:t>S</w:t>
            </w:r>
            <w:r>
              <w:rPr>
                <w:rFonts w:eastAsia="Calibri"/>
              </w:rPr>
              <w:t>tage 1 complaint</w:t>
            </w:r>
          </w:p>
        </w:tc>
        <w:tc>
          <w:tcPr>
            <w:tcW w:w="12474" w:type="dxa"/>
            <w:gridSpan w:val="2"/>
            <w:shd w:val="clear" w:color="auto" w:fill="auto"/>
          </w:tcPr>
          <w:p w14:paraId="07ECED9C" w14:textId="77777777" w:rsidR="00D9762B" w:rsidRDefault="00D9762B" w:rsidP="00781614">
            <w:pPr>
              <w:rPr>
                <w:rFonts w:eastAsia="Calibri"/>
              </w:rPr>
            </w:pPr>
          </w:p>
          <w:p w14:paraId="2764262E" w14:textId="77777777" w:rsidR="00D9762B" w:rsidRDefault="00D9762B" w:rsidP="00781614">
            <w:pPr>
              <w:rPr>
                <w:rFonts w:eastAsia="Calibri"/>
              </w:rPr>
            </w:pPr>
          </w:p>
          <w:p w14:paraId="48198881" w14:textId="77777777" w:rsidR="00D9762B" w:rsidRDefault="00D9762B" w:rsidP="00781614">
            <w:pPr>
              <w:rPr>
                <w:rFonts w:eastAsia="Calibri"/>
              </w:rPr>
            </w:pPr>
          </w:p>
          <w:p w14:paraId="169695E2" w14:textId="77777777" w:rsidR="00D9762B" w:rsidRDefault="00D9762B" w:rsidP="00781614">
            <w:pPr>
              <w:rPr>
                <w:rFonts w:eastAsia="Calibri"/>
              </w:rPr>
            </w:pPr>
          </w:p>
          <w:p w14:paraId="2A00AA7D" w14:textId="77777777" w:rsidR="00D9762B" w:rsidRDefault="00D9762B" w:rsidP="00781614">
            <w:pPr>
              <w:rPr>
                <w:rFonts w:eastAsia="Calibri"/>
              </w:rPr>
            </w:pPr>
          </w:p>
          <w:p w14:paraId="76993767" w14:textId="77777777" w:rsidR="00D9762B" w:rsidRDefault="00D9762B" w:rsidP="00781614">
            <w:pPr>
              <w:rPr>
                <w:rFonts w:eastAsia="Calibri"/>
              </w:rPr>
            </w:pPr>
          </w:p>
          <w:p w14:paraId="6EEF5AE2" w14:textId="77777777" w:rsidR="00D9762B" w:rsidRDefault="00D9762B" w:rsidP="00781614">
            <w:pPr>
              <w:rPr>
                <w:rFonts w:eastAsia="Calibri"/>
              </w:rPr>
            </w:pPr>
          </w:p>
          <w:p w14:paraId="6F7E82AA" w14:textId="77777777" w:rsidR="00D9762B" w:rsidRPr="009E02A3" w:rsidRDefault="00D9762B" w:rsidP="00781614">
            <w:pPr>
              <w:rPr>
                <w:rFonts w:eastAsia="Calibri"/>
              </w:rPr>
            </w:pPr>
          </w:p>
        </w:tc>
      </w:tr>
    </w:tbl>
    <w:p w14:paraId="1AE307F7" w14:textId="77777777" w:rsidR="00D9762B" w:rsidRDefault="00D9762B" w:rsidP="00D9762B">
      <w:pPr>
        <w:jc w:val="center"/>
        <w:rPr>
          <w:b/>
        </w:rPr>
      </w:pPr>
    </w:p>
    <w:p w14:paraId="12B541FC" w14:textId="77777777" w:rsidR="00D9762B" w:rsidRDefault="00D9762B" w:rsidP="00D9762B">
      <w:pPr>
        <w:jc w:val="center"/>
        <w:rPr>
          <w:b/>
        </w:rPr>
      </w:pPr>
    </w:p>
    <w:p w14:paraId="4EB11D50" w14:textId="77777777" w:rsidR="00D9762B" w:rsidRDefault="00D9762B" w:rsidP="00D9762B">
      <w:pPr>
        <w:jc w:val="center"/>
        <w:rPr>
          <w:b/>
        </w:rPr>
      </w:pPr>
    </w:p>
    <w:p w14:paraId="7BBE6BD0" w14:textId="77777777" w:rsidR="00893FF4" w:rsidRDefault="00893FF4">
      <w:pPr>
        <w:rPr>
          <w:b/>
        </w:rPr>
      </w:pPr>
      <w:r>
        <w:rPr>
          <w:b/>
        </w:rPr>
        <w:br w:type="page"/>
      </w:r>
    </w:p>
    <w:tbl>
      <w:tblPr>
        <w:tblStyle w:val="TableGrid"/>
        <w:tblW w:w="15134" w:type="dxa"/>
        <w:tblLook w:val="04A0" w:firstRow="1" w:lastRow="0" w:firstColumn="1" w:lastColumn="0" w:noHBand="0" w:noVBand="1"/>
      </w:tblPr>
      <w:tblGrid>
        <w:gridCol w:w="2660"/>
        <w:gridCol w:w="9497"/>
        <w:gridCol w:w="2977"/>
      </w:tblGrid>
      <w:tr w:rsidR="00D9762B" w:rsidRPr="009E02A3" w14:paraId="193028F0" w14:textId="77777777" w:rsidTr="00781614">
        <w:tc>
          <w:tcPr>
            <w:tcW w:w="15134" w:type="dxa"/>
            <w:gridSpan w:val="3"/>
            <w:shd w:val="clear" w:color="auto" w:fill="D9D9D9" w:themeFill="background1" w:themeFillShade="D9"/>
          </w:tcPr>
          <w:p w14:paraId="533AFE07" w14:textId="77777777" w:rsidR="00D9762B" w:rsidRPr="009E02A3" w:rsidRDefault="00D9762B" w:rsidP="00781614">
            <w:pPr>
              <w:jc w:val="center"/>
              <w:rPr>
                <w:rFonts w:eastAsia="Calibri"/>
              </w:rPr>
            </w:pPr>
            <w:r>
              <w:br w:type="page"/>
            </w:r>
            <w:r w:rsidRPr="009E02A3">
              <w:rPr>
                <w:rFonts w:eastAsia="Calibri"/>
              </w:rPr>
              <w:t xml:space="preserve">Details of </w:t>
            </w:r>
            <w:r>
              <w:rPr>
                <w:rFonts w:eastAsia="Calibri"/>
              </w:rPr>
              <w:t>Stage 2 Complaint and Outcome You are Seeking</w:t>
            </w:r>
          </w:p>
        </w:tc>
      </w:tr>
      <w:tr w:rsidR="00D9762B" w:rsidRPr="009E02A3" w14:paraId="788F9709" w14:textId="77777777" w:rsidTr="00781614">
        <w:tc>
          <w:tcPr>
            <w:tcW w:w="2660" w:type="dxa"/>
          </w:tcPr>
          <w:p w14:paraId="679F4338" w14:textId="77777777" w:rsidR="00D9762B" w:rsidRDefault="00D9762B" w:rsidP="00781614">
            <w:pPr>
              <w:rPr>
                <w:rFonts w:eastAsia="Calibri"/>
              </w:rPr>
            </w:pPr>
            <w:r>
              <w:rPr>
                <w:rFonts w:eastAsia="Calibri"/>
              </w:rPr>
              <w:t>Please detail the specific concern and how the problem is impacting on you</w:t>
            </w:r>
          </w:p>
        </w:tc>
        <w:tc>
          <w:tcPr>
            <w:tcW w:w="9497" w:type="dxa"/>
          </w:tcPr>
          <w:p w14:paraId="63E2B8D9" w14:textId="77777777" w:rsidR="00D9762B" w:rsidRDefault="00D9762B" w:rsidP="00781614">
            <w:pPr>
              <w:rPr>
                <w:rFonts w:eastAsia="Calibri"/>
              </w:rPr>
            </w:pPr>
          </w:p>
          <w:p w14:paraId="0BDA4031" w14:textId="77777777" w:rsidR="00D9762B" w:rsidRDefault="00D9762B" w:rsidP="00781614">
            <w:pPr>
              <w:rPr>
                <w:rFonts w:eastAsia="Calibri"/>
              </w:rPr>
            </w:pPr>
          </w:p>
          <w:p w14:paraId="4EDD45BB" w14:textId="77777777" w:rsidR="00D9762B" w:rsidRDefault="00D9762B" w:rsidP="00781614">
            <w:pPr>
              <w:rPr>
                <w:rFonts w:eastAsia="Calibri"/>
              </w:rPr>
            </w:pPr>
          </w:p>
          <w:p w14:paraId="19C8FE0A" w14:textId="77777777" w:rsidR="00D9762B" w:rsidRDefault="00D9762B" w:rsidP="00781614">
            <w:pPr>
              <w:rPr>
                <w:rFonts w:eastAsia="Calibri"/>
              </w:rPr>
            </w:pPr>
          </w:p>
          <w:p w14:paraId="4EC676B6" w14:textId="77777777" w:rsidR="00D9762B" w:rsidRDefault="00D9762B" w:rsidP="00781614">
            <w:pPr>
              <w:rPr>
                <w:rFonts w:eastAsia="Calibri"/>
              </w:rPr>
            </w:pPr>
          </w:p>
          <w:p w14:paraId="2EC4FCFC" w14:textId="77777777" w:rsidR="00D9762B" w:rsidRDefault="00D9762B" w:rsidP="00781614">
            <w:pPr>
              <w:rPr>
                <w:rFonts w:eastAsia="Calibri"/>
              </w:rPr>
            </w:pPr>
          </w:p>
          <w:p w14:paraId="562A135B" w14:textId="77777777" w:rsidR="00D9762B" w:rsidRDefault="00D9762B" w:rsidP="00781614">
            <w:pPr>
              <w:rPr>
                <w:rFonts w:eastAsia="Calibri"/>
              </w:rPr>
            </w:pPr>
          </w:p>
          <w:p w14:paraId="273572A9" w14:textId="77777777" w:rsidR="00D9762B" w:rsidRPr="009E02A3" w:rsidRDefault="00D9762B" w:rsidP="00781614">
            <w:pPr>
              <w:rPr>
                <w:rFonts w:eastAsia="Calibri"/>
              </w:rPr>
            </w:pPr>
          </w:p>
        </w:tc>
        <w:tc>
          <w:tcPr>
            <w:tcW w:w="2977" w:type="dxa"/>
          </w:tcPr>
          <w:p w14:paraId="487C86C0" w14:textId="77777777" w:rsidR="00D9762B" w:rsidRPr="009E02A3" w:rsidRDefault="00D9762B" w:rsidP="00781614">
            <w:pPr>
              <w:rPr>
                <w:rFonts w:eastAsia="Calibri"/>
              </w:rPr>
            </w:pPr>
            <w:r w:rsidRPr="009E02A3">
              <w:rPr>
                <w:rFonts w:eastAsia="Calibri"/>
              </w:rPr>
              <w:t>List of evidence to support each claim</w:t>
            </w:r>
            <w:r>
              <w:rPr>
                <w:rFonts w:eastAsia="Calibri"/>
                <w:vertAlign w:val="superscript"/>
              </w:rPr>
              <w:t>1</w:t>
            </w:r>
            <w:r w:rsidRPr="009E02A3">
              <w:rPr>
                <w:rFonts w:eastAsia="Calibri"/>
              </w:rPr>
              <w:t>:</w:t>
            </w:r>
          </w:p>
          <w:p w14:paraId="6C4A46EB" w14:textId="77777777" w:rsidR="00D9762B" w:rsidRPr="009E02A3" w:rsidRDefault="00D9762B" w:rsidP="00781614">
            <w:pPr>
              <w:rPr>
                <w:rFonts w:eastAsia="Calibri"/>
              </w:rPr>
            </w:pPr>
          </w:p>
        </w:tc>
      </w:tr>
      <w:tr w:rsidR="00D9762B" w:rsidRPr="009E02A3" w14:paraId="31276F8E" w14:textId="77777777" w:rsidTr="00781614">
        <w:trPr>
          <w:trHeight w:val="1205"/>
        </w:trPr>
        <w:tc>
          <w:tcPr>
            <w:tcW w:w="2660" w:type="dxa"/>
          </w:tcPr>
          <w:p w14:paraId="37A2233D" w14:textId="77777777" w:rsidR="00D9762B" w:rsidRPr="009E02A3" w:rsidRDefault="00D9762B" w:rsidP="00D9762B">
            <w:pPr>
              <w:rPr>
                <w:rFonts w:eastAsia="Calibri"/>
              </w:rPr>
            </w:pPr>
            <w:r>
              <w:rPr>
                <w:rFonts w:eastAsia="Calibri"/>
              </w:rPr>
              <w:t>Please confirm the service(s) involved in the problem, including individuals who will need to be consulted as part of any investigation</w:t>
            </w:r>
          </w:p>
        </w:tc>
        <w:tc>
          <w:tcPr>
            <w:tcW w:w="9497" w:type="dxa"/>
          </w:tcPr>
          <w:p w14:paraId="622EB572" w14:textId="77777777" w:rsidR="00D9762B" w:rsidRPr="009E02A3" w:rsidRDefault="00D9762B" w:rsidP="00781614">
            <w:pPr>
              <w:rPr>
                <w:rFonts w:eastAsia="Calibri"/>
              </w:rPr>
            </w:pPr>
          </w:p>
          <w:p w14:paraId="34F3D1E6" w14:textId="77777777" w:rsidR="00D9762B" w:rsidRDefault="00D9762B" w:rsidP="00781614">
            <w:pPr>
              <w:rPr>
                <w:rFonts w:eastAsia="Calibri"/>
              </w:rPr>
            </w:pPr>
          </w:p>
          <w:p w14:paraId="08C82539" w14:textId="77777777" w:rsidR="00D9762B" w:rsidRDefault="00D9762B" w:rsidP="00781614">
            <w:pPr>
              <w:rPr>
                <w:rFonts w:eastAsia="Calibri"/>
              </w:rPr>
            </w:pPr>
          </w:p>
          <w:p w14:paraId="0148A5D2" w14:textId="77777777" w:rsidR="00D9762B" w:rsidRDefault="00D9762B" w:rsidP="00781614">
            <w:pPr>
              <w:rPr>
                <w:rFonts w:eastAsia="Calibri"/>
              </w:rPr>
            </w:pPr>
          </w:p>
          <w:p w14:paraId="5B0E1FE9" w14:textId="77777777" w:rsidR="00D9762B" w:rsidRDefault="00D9762B" w:rsidP="00781614">
            <w:pPr>
              <w:rPr>
                <w:rFonts w:eastAsia="Calibri"/>
              </w:rPr>
            </w:pPr>
          </w:p>
          <w:p w14:paraId="47EB1772" w14:textId="77777777" w:rsidR="00D9762B" w:rsidRDefault="00D9762B" w:rsidP="00781614">
            <w:pPr>
              <w:rPr>
                <w:rFonts w:eastAsia="Calibri"/>
              </w:rPr>
            </w:pPr>
          </w:p>
          <w:p w14:paraId="20EF41A3" w14:textId="77777777" w:rsidR="00D9762B" w:rsidRPr="009E02A3" w:rsidRDefault="00D9762B" w:rsidP="00781614">
            <w:pPr>
              <w:rPr>
                <w:rFonts w:eastAsia="Calibri"/>
              </w:rPr>
            </w:pPr>
          </w:p>
        </w:tc>
        <w:tc>
          <w:tcPr>
            <w:tcW w:w="2977" w:type="dxa"/>
          </w:tcPr>
          <w:p w14:paraId="15B5E029" w14:textId="77777777" w:rsidR="00D9762B" w:rsidRPr="009E02A3" w:rsidRDefault="00D9762B" w:rsidP="00781614">
            <w:pPr>
              <w:rPr>
                <w:rFonts w:eastAsia="Calibri"/>
              </w:rPr>
            </w:pPr>
            <w:r w:rsidRPr="009E02A3">
              <w:rPr>
                <w:rFonts w:eastAsia="Calibri"/>
              </w:rPr>
              <w:t>List of evidence to support each claim</w:t>
            </w:r>
            <w:r>
              <w:rPr>
                <w:rFonts w:eastAsia="Calibri"/>
                <w:vertAlign w:val="superscript"/>
              </w:rPr>
              <w:t>1</w:t>
            </w:r>
            <w:r w:rsidRPr="009E02A3">
              <w:rPr>
                <w:rFonts w:eastAsia="Calibri"/>
              </w:rPr>
              <w:t>:</w:t>
            </w:r>
          </w:p>
          <w:p w14:paraId="7D65457B" w14:textId="77777777" w:rsidR="00D9762B" w:rsidRPr="009E02A3" w:rsidRDefault="00D9762B" w:rsidP="00781614">
            <w:pPr>
              <w:rPr>
                <w:rFonts w:eastAsia="Calibri"/>
              </w:rPr>
            </w:pPr>
          </w:p>
        </w:tc>
      </w:tr>
      <w:tr w:rsidR="00D9762B" w:rsidRPr="009E02A3" w14:paraId="258854D3" w14:textId="77777777" w:rsidTr="00781614">
        <w:trPr>
          <w:trHeight w:val="964"/>
        </w:trPr>
        <w:tc>
          <w:tcPr>
            <w:tcW w:w="2660" w:type="dxa"/>
          </w:tcPr>
          <w:p w14:paraId="50EF5567" w14:textId="77777777" w:rsidR="00D9762B" w:rsidRPr="009E02A3" w:rsidRDefault="00D9762B" w:rsidP="00781614">
            <w:pPr>
              <w:rPr>
                <w:rFonts w:eastAsia="Calibri"/>
              </w:rPr>
            </w:pPr>
            <w:r w:rsidRPr="009E02A3">
              <w:rPr>
                <w:rFonts w:eastAsia="Calibri"/>
              </w:rPr>
              <w:t>What is the outcome that you are seeking?</w:t>
            </w:r>
          </w:p>
          <w:p w14:paraId="08AC40D0" w14:textId="77777777" w:rsidR="00D9762B" w:rsidRPr="009E02A3" w:rsidRDefault="00D9762B" w:rsidP="00781614">
            <w:pPr>
              <w:jc w:val="center"/>
              <w:rPr>
                <w:rFonts w:eastAsia="Calibri"/>
              </w:rPr>
            </w:pPr>
          </w:p>
        </w:tc>
        <w:tc>
          <w:tcPr>
            <w:tcW w:w="9497" w:type="dxa"/>
          </w:tcPr>
          <w:p w14:paraId="533F30B8" w14:textId="77777777" w:rsidR="00D9762B" w:rsidRDefault="00D9762B" w:rsidP="00781614">
            <w:pPr>
              <w:rPr>
                <w:rFonts w:eastAsia="Calibri"/>
              </w:rPr>
            </w:pPr>
          </w:p>
          <w:p w14:paraId="3A3CF5C9" w14:textId="77777777" w:rsidR="00D9762B" w:rsidRDefault="00D9762B" w:rsidP="00781614">
            <w:pPr>
              <w:rPr>
                <w:rFonts w:eastAsia="Calibri"/>
              </w:rPr>
            </w:pPr>
          </w:p>
          <w:p w14:paraId="4FADEBEC" w14:textId="77777777" w:rsidR="00D9762B" w:rsidRDefault="00D9762B" w:rsidP="00781614">
            <w:pPr>
              <w:rPr>
                <w:rFonts w:eastAsia="Calibri"/>
              </w:rPr>
            </w:pPr>
          </w:p>
          <w:p w14:paraId="5E4096A6" w14:textId="77777777" w:rsidR="00D9762B" w:rsidRPr="009E02A3" w:rsidRDefault="00D9762B" w:rsidP="00781614">
            <w:pPr>
              <w:rPr>
                <w:rFonts w:eastAsia="Calibri"/>
              </w:rPr>
            </w:pPr>
          </w:p>
        </w:tc>
        <w:tc>
          <w:tcPr>
            <w:tcW w:w="2977" w:type="dxa"/>
          </w:tcPr>
          <w:p w14:paraId="6EE036F1" w14:textId="77777777" w:rsidR="00D9762B" w:rsidRPr="009E02A3" w:rsidRDefault="00D9762B" w:rsidP="00781614">
            <w:pPr>
              <w:rPr>
                <w:rFonts w:eastAsia="Calibri"/>
              </w:rPr>
            </w:pPr>
            <w:r w:rsidRPr="009E02A3">
              <w:rPr>
                <w:rFonts w:eastAsia="Calibri"/>
              </w:rPr>
              <w:t>List of evidence to support each claim</w:t>
            </w:r>
            <w:r>
              <w:rPr>
                <w:rFonts w:eastAsia="Calibri"/>
                <w:vertAlign w:val="superscript"/>
              </w:rPr>
              <w:t>1</w:t>
            </w:r>
            <w:r w:rsidRPr="009E02A3">
              <w:rPr>
                <w:rFonts w:eastAsia="Calibri"/>
              </w:rPr>
              <w:t>:</w:t>
            </w:r>
          </w:p>
          <w:p w14:paraId="2AA8B72F" w14:textId="77777777" w:rsidR="00D9762B" w:rsidRPr="009E02A3" w:rsidRDefault="00D9762B" w:rsidP="00781614">
            <w:pPr>
              <w:rPr>
                <w:rFonts w:eastAsia="Calibri"/>
              </w:rPr>
            </w:pPr>
          </w:p>
        </w:tc>
      </w:tr>
      <w:tr w:rsidR="00D9762B" w:rsidRPr="009E02A3" w14:paraId="7140545F" w14:textId="77777777" w:rsidTr="00781614">
        <w:tc>
          <w:tcPr>
            <w:tcW w:w="2660" w:type="dxa"/>
          </w:tcPr>
          <w:p w14:paraId="7A2AF8D1" w14:textId="77777777" w:rsidR="00D9762B" w:rsidRPr="009E02A3" w:rsidRDefault="00D9762B" w:rsidP="00781614">
            <w:pPr>
              <w:rPr>
                <w:rFonts w:eastAsia="Calibri"/>
              </w:rPr>
            </w:pPr>
            <w:r>
              <w:rPr>
                <w:rFonts w:eastAsia="Calibri"/>
              </w:rPr>
              <w:t>Please include any other detail that you believe is relevant</w:t>
            </w:r>
          </w:p>
        </w:tc>
        <w:tc>
          <w:tcPr>
            <w:tcW w:w="9497" w:type="dxa"/>
          </w:tcPr>
          <w:p w14:paraId="5D9865C8" w14:textId="77777777" w:rsidR="00D9762B" w:rsidRDefault="00D9762B" w:rsidP="00781614">
            <w:pPr>
              <w:rPr>
                <w:rFonts w:eastAsia="Calibri"/>
              </w:rPr>
            </w:pPr>
          </w:p>
        </w:tc>
        <w:tc>
          <w:tcPr>
            <w:tcW w:w="2977" w:type="dxa"/>
          </w:tcPr>
          <w:p w14:paraId="3A858D3D" w14:textId="77777777" w:rsidR="00D9762B" w:rsidRPr="009E02A3" w:rsidRDefault="00D9762B" w:rsidP="00781614">
            <w:pPr>
              <w:rPr>
                <w:rFonts w:eastAsia="Calibri"/>
              </w:rPr>
            </w:pPr>
            <w:r w:rsidRPr="009E02A3">
              <w:rPr>
                <w:rFonts w:eastAsia="Calibri"/>
              </w:rPr>
              <w:t>List of evidence to support each claim</w:t>
            </w:r>
            <w:r>
              <w:rPr>
                <w:rFonts w:eastAsia="Calibri"/>
                <w:vertAlign w:val="superscript"/>
              </w:rPr>
              <w:t>1</w:t>
            </w:r>
            <w:r w:rsidRPr="009E02A3">
              <w:rPr>
                <w:rFonts w:eastAsia="Calibri"/>
              </w:rPr>
              <w:t>:</w:t>
            </w:r>
          </w:p>
          <w:p w14:paraId="30881FFF" w14:textId="77777777" w:rsidR="00D9762B" w:rsidRPr="009E02A3" w:rsidRDefault="00D9762B" w:rsidP="00781614">
            <w:pPr>
              <w:rPr>
                <w:rFonts w:eastAsia="Calibri"/>
              </w:rPr>
            </w:pPr>
          </w:p>
        </w:tc>
      </w:tr>
      <w:tr w:rsidR="00D9762B" w14:paraId="3FC57782" w14:textId="77777777" w:rsidTr="00781614">
        <w:trPr>
          <w:trHeight w:val="784"/>
        </w:trPr>
        <w:tc>
          <w:tcPr>
            <w:tcW w:w="15134" w:type="dxa"/>
            <w:gridSpan w:val="3"/>
          </w:tcPr>
          <w:p w14:paraId="4BF1BF71" w14:textId="77777777" w:rsidR="00D9762B" w:rsidRDefault="00781614" w:rsidP="00781614">
            <w:pPr>
              <w:rPr>
                <w:rFonts w:eastAsia="Calibri"/>
              </w:rPr>
            </w:pPr>
            <w:r>
              <w:rPr>
                <w:rFonts w:eastAsia="Calibri"/>
              </w:rPr>
              <w:t>Student SQP</w:t>
            </w:r>
            <w:r w:rsidR="00D9762B">
              <w:rPr>
                <w:rFonts w:eastAsia="Calibri"/>
              </w:rPr>
              <w:t>’s signature to confirm that all claims made within this complaints form are truthful and that all evidence is genuine:</w:t>
            </w:r>
          </w:p>
          <w:p w14:paraId="144A2081" w14:textId="77777777" w:rsidR="00D9762B" w:rsidRDefault="00D9762B" w:rsidP="00781614">
            <w:pPr>
              <w:rPr>
                <w:rFonts w:eastAsia="Calibri"/>
              </w:rPr>
            </w:pPr>
          </w:p>
          <w:p w14:paraId="7ACDAF27" w14:textId="77777777" w:rsidR="00D9762B" w:rsidRDefault="00D9762B" w:rsidP="00781614">
            <w:pPr>
              <w:rPr>
                <w:rFonts w:eastAsia="Calibri"/>
              </w:rPr>
            </w:pPr>
          </w:p>
        </w:tc>
      </w:tr>
    </w:tbl>
    <w:p w14:paraId="15869850" w14:textId="478FC0D4" w:rsidR="00D9762B" w:rsidRPr="00AC5479" w:rsidRDefault="00D9762B" w:rsidP="00D9762B">
      <w:pPr>
        <w:spacing w:line="240" w:lineRule="auto"/>
        <w:rPr>
          <w:rFonts w:eastAsia="Calibri"/>
          <w:sz w:val="28"/>
          <w:szCs w:val="36"/>
        </w:rPr>
      </w:pPr>
      <w:r w:rsidRPr="005E02EC">
        <w:rPr>
          <w:rFonts w:eastAsia="Calibri"/>
          <w:sz w:val="36"/>
          <w:szCs w:val="36"/>
          <w:vertAlign w:val="superscript"/>
        </w:rPr>
        <w:t xml:space="preserve">1 </w:t>
      </w:r>
      <w:r w:rsidRPr="00AC5479">
        <w:rPr>
          <w:rFonts w:eastAsia="Calibri"/>
          <w:sz w:val="28"/>
          <w:szCs w:val="36"/>
        </w:rPr>
        <w:t>All evidence must be appended to the submitted complaints form within the deadline</w:t>
      </w:r>
      <w:r w:rsidR="00022692" w:rsidRPr="00AC5479">
        <w:rPr>
          <w:rFonts w:eastAsia="Calibri"/>
          <w:sz w:val="28"/>
          <w:szCs w:val="36"/>
        </w:rPr>
        <w:t xml:space="preserve"> and sent to </w:t>
      </w:r>
      <w:hyperlink r:id="rId20" w:history="1">
        <w:r w:rsidR="00923A29" w:rsidRPr="00AC5479">
          <w:rPr>
            <w:rStyle w:val="Hyperlink"/>
            <w:rFonts w:eastAsia="Calibri"/>
            <w:sz w:val="28"/>
            <w:szCs w:val="36"/>
          </w:rPr>
          <w:t>secretarygeneral@amtra.org.uk</w:t>
        </w:r>
      </w:hyperlink>
      <w:r w:rsidR="00923A29" w:rsidRPr="00AC5479">
        <w:rPr>
          <w:rFonts w:eastAsia="Calibri"/>
          <w:sz w:val="28"/>
          <w:szCs w:val="36"/>
        </w:rPr>
        <w:t xml:space="preserve"> or to 1c Windmill Avenue, Woolpit, Bury St Edmunds IP30 9UP</w:t>
      </w:r>
      <w:r w:rsidRPr="00AC5479">
        <w:rPr>
          <w:rFonts w:eastAsia="Calibri"/>
          <w:sz w:val="28"/>
          <w:szCs w:val="36"/>
        </w:rPr>
        <w:t xml:space="preserve">.  </w:t>
      </w:r>
    </w:p>
    <w:p w14:paraId="678DDF9F" w14:textId="70E561B3" w:rsidR="00D9762B" w:rsidRPr="008F7D04" w:rsidRDefault="00D9762B" w:rsidP="00D9762B">
      <w:r w:rsidRPr="000406B2">
        <w:rPr>
          <w:rFonts w:eastAsia="Calibri"/>
        </w:rPr>
        <w:t xml:space="preserve">The completed form should be e-mailed, </w:t>
      </w:r>
      <w:r w:rsidRPr="000406B2">
        <w:rPr>
          <w:rFonts w:eastAsia="Calibri"/>
          <w:u w:val="single"/>
        </w:rPr>
        <w:t>along with supporting evidence</w:t>
      </w:r>
      <w:r w:rsidRPr="000406B2">
        <w:rPr>
          <w:rFonts w:eastAsia="Calibri"/>
        </w:rPr>
        <w:t>, to</w:t>
      </w:r>
      <w:r w:rsidRPr="003769F0">
        <w:rPr>
          <w:rFonts w:eastAsia="Calibri"/>
        </w:rPr>
        <w:t xml:space="preserve"> </w:t>
      </w:r>
      <w:r>
        <w:rPr>
          <w:rFonts w:eastAsia="Calibri"/>
        </w:rPr>
        <w:t xml:space="preserve">the </w:t>
      </w:r>
      <w:r w:rsidRPr="000406B2">
        <w:rPr>
          <w:rFonts w:eastAsia="Calibri"/>
        </w:rPr>
        <w:t xml:space="preserve">within 14 </w:t>
      </w:r>
      <w:r w:rsidR="00581963">
        <w:rPr>
          <w:rFonts w:eastAsia="Calibri"/>
        </w:rPr>
        <w:t>calendar</w:t>
      </w:r>
      <w:r w:rsidR="00C3111A">
        <w:rPr>
          <w:rFonts w:eastAsia="Calibri"/>
        </w:rPr>
        <w:t xml:space="preserve"> </w:t>
      </w:r>
      <w:r w:rsidRPr="000406B2">
        <w:rPr>
          <w:rFonts w:eastAsia="Calibri"/>
        </w:rPr>
        <w:t xml:space="preserve">days of being notified of the </w:t>
      </w:r>
      <w:r w:rsidR="00581963">
        <w:rPr>
          <w:rFonts w:eastAsia="Calibri"/>
        </w:rPr>
        <w:t>S</w:t>
      </w:r>
      <w:r w:rsidRPr="000406B2">
        <w:rPr>
          <w:rFonts w:eastAsia="Calibri"/>
        </w:rPr>
        <w:t>tage 1 outcome</w:t>
      </w:r>
      <w:r w:rsidR="00321EED">
        <w:rPr>
          <w:rFonts w:eastAsia="Calibri"/>
        </w:rPr>
        <w:t>.</w:t>
      </w:r>
      <w:r w:rsidR="00F708AA">
        <w:rPr>
          <w:rFonts w:eastAsia="Calibri"/>
        </w:rPr>
        <w:t xml:space="preserve"> The Harper Adams University/</w:t>
      </w:r>
      <w:r w:rsidR="00B92A67">
        <w:rPr>
          <w:rFonts w:eastAsia="Calibri"/>
        </w:rPr>
        <w:t>AMTRA Course Manager</w:t>
      </w:r>
      <w:r w:rsidR="00F708AA">
        <w:rPr>
          <w:rFonts w:eastAsia="Calibri"/>
        </w:rPr>
        <w:t xml:space="preserve">, Dr </w:t>
      </w:r>
      <w:r w:rsidR="00B92A67">
        <w:rPr>
          <w:rFonts w:eastAsia="Calibri"/>
        </w:rPr>
        <w:t>John Donaldson</w:t>
      </w:r>
      <w:r w:rsidR="00F708AA">
        <w:rPr>
          <w:rFonts w:eastAsia="Calibri"/>
        </w:rPr>
        <w:t xml:space="preserve"> (</w:t>
      </w:r>
      <w:hyperlink r:id="rId21" w:history="1">
        <w:r w:rsidR="009129A7" w:rsidRPr="002868D5">
          <w:rPr>
            <w:rStyle w:val="Hyperlink"/>
            <w:rFonts w:eastAsia="Calibri"/>
          </w:rPr>
          <w:t>jdonaldson@harper-adams.ac.uk</w:t>
        </w:r>
      </w:hyperlink>
      <w:r w:rsidR="00F708AA">
        <w:rPr>
          <w:rFonts w:eastAsia="Calibri"/>
        </w:rPr>
        <w:t>) is able to advise students on preparing a formal complaint</w:t>
      </w:r>
      <w:r w:rsidR="00022692">
        <w:rPr>
          <w:rFonts w:eastAsia="Calibri"/>
        </w:rPr>
        <w:t>.</w:t>
      </w:r>
    </w:p>
    <w:sectPr w:rsidR="00D9762B" w:rsidRPr="008F7D04" w:rsidSect="00D9762B">
      <w:pgSz w:w="16838" w:h="11906" w:orient="landscape"/>
      <w:pgMar w:top="1440" w:right="1440" w:bottom="1440" w:left="1440" w:header="708"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AB01B" w15:done="0"/>
  <w15:commentEx w15:paraId="709300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A710B" w14:textId="77777777" w:rsidR="006E52AC" w:rsidRDefault="006E52AC" w:rsidP="00EC5BD8">
      <w:pPr>
        <w:spacing w:after="0" w:line="240" w:lineRule="auto"/>
      </w:pPr>
      <w:r>
        <w:separator/>
      </w:r>
    </w:p>
  </w:endnote>
  <w:endnote w:type="continuationSeparator" w:id="0">
    <w:p w14:paraId="5861ADD3" w14:textId="77777777" w:rsidR="006E52AC" w:rsidRDefault="006E52AC" w:rsidP="00EC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MT">
    <w:panose1 w:val="00000000000000000000"/>
    <w:charset w:val="00"/>
    <w:family w:val="modern"/>
    <w:notTrueType/>
    <w:pitch w:val="variable"/>
    <w:sig w:usb0="8000002F" w:usb1="4000004A" w:usb2="00000000" w:usb3="00000000" w:csb0="00000111"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4"/>
      <w:docPartObj>
        <w:docPartGallery w:val="Page Numbers (Bottom of Page)"/>
        <w:docPartUnique/>
      </w:docPartObj>
    </w:sdtPr>
    <w:sdtEndPr>
      <w:rPr>
        <w:sz w:val="18"/>
        <w:szCs w:val="18"/>
      </w:rPr>
    </w:sdtEndPr>
    <w:sdtContent>
      <w:sdt>
        <w:sdtPr>
          <w:id w:val="-1639102121"/>
          <w:docPartObj>
            <w:docPartGallery w:val="Page Numbers (Top of Page)"/>
            <w:docPartUnique/>
          </w:docPartObj>
        </w:sdtPr>
        <w:sdtEndPr>
          <w:rPr>
            <w:sz w:val="18"/>
            <w:szCs w:val="18"/>
          </w:rPr>
        </w:sdtEndPr>
        <w:sdtContent>
          <w:p w14:paraId="51B84521" w14:textId="77777777" w:rsidR="00781614" w:rsidRPr="00EC5BD8" w:rsidRDefault="00781614">
            <w:pPr>
              <w:pStyle w:val="Footer"/>
              <w:jc w:val="center"/>
              <w:rPr>
                <w:sz w:val="18"/>
                <w:szCs w:val="18"/>
              </w:rPr>
            </w:pPr>
            <w:r w:rsidRPr="00EC5BD8">
              <w:rPr>
                <w:sz w:val="18"/>
                <w:szCs w:val="18"/>
              </w:rPr>
              <w:t xml:space="preserve">Page </w:t>
            </w:r>
            <w:r w:rsidRPr="00EC5BD8">
              <w:rPr>
                <w:b/>
                <w:bCs/>
                <w:sz w:val="18"/>
                <w:szCs w:val="18"/>
              </w:rPr>
              <w:fldChar w:fldCharType="begin"/>
            </w:r>
            <w:r w:rsidRPr="00EC5BD8">
              <w:rPr>
                <w:b/>
                <w:bCs/>
                <w:sz w:val="18"/>
                <w:szCs w:val="18"/>
              </w:rPr>
              <w:instrText xml:space="preserve"> PAGE </w:instrText>
            </w:r>
            <w:r w:rsidRPr="00EC5BD8">
              <w:rPr>
                <w:b/>
                <w:bCs/>
                <w:sz w:val="18"/>
                <w:szCs w:val="18"/>
              </w:rPr>
              <w:fldChar w:fldCharType="separate"/>
            </w:r>
            <w:r w:rsidR="00E2236A">
              <w:rPr>
                <w:b/>
                <w:bCs/>
                <w:noProof/>
                <w:sz w:val="18"/>
                <w:szCs w:val="18"/>
              </w:rPr>
              <w:t>1</w:t>
            </w:r>
            <w:r w:rsidRPr="00EC5BD8">
              <w:rPr>
                <w:b/>
                <w:bCs/>
                <w:sz w:val="18"/>
                <w:szCs w:val="18"/>
              </w:rPr>
              <w:fldChar w:fldCharType="end"/>
            </w:r>
            <w:r w:rsidRPr="00EC5BD8">
              <w:rPr>
                <w:sz w:val="18"/>
                <w:szCs w:val="18"/>
              </w:rPr>
              <w:t xml:space="preserve"> of </w:t>
            </w:r>
            <w:r w:rsidRPr="00EC5BD8">
              <w:rPr>
                <w:b/>
                <w:bCs/>
                <w:sz w:val="18"/>
                <w:szCs w:val="18"/>
              </w:rPr>
              <w:fldChar w:fldCharType="begin"/>
            </w:r>
            <w:r w:rsidRPr="00EC5BD8">
              <w:rPr>
                <w:b/>
                <w:bCs/>
                <w:sz w:val="18"/>
                <w:szCs w:val="18"/>
              </w:rPr>
              <w:instrText xml:space="preserve"> NUMPAGES  </w:instrText>
            </w:r>
            <w:r w:rsidRPr="00EC5BD8">
              <w:rPr>
                <w:b/>
                <w:bCs/>
                <w:sz w:val="18"/>
                <w:szCs w:val="18"/>
              </w:rPr>
              <w:fldChar w:fldCharType="separate"/>
            </w:r>
            <w:r w:rsidR="00E2236A">
              <w:rPr>
                <w:b/>
                <w:bCs/>
                <w:noProof/>
                <w:sz w:val="18"/>
                <w:szCs w:val="18"/>
              </w:rPr>
              <w:t>13</w:t>
            </w:r>
            <w:r w:rsidRPr="00EC5BD8">
              <w:rPr>
                <w:b/>
                <w:bCs/>
                <w:sz w:val="18"/>
                <w:szCs w:val="18"/>
              </w:rPr>
              <w:fldChar w:fldCharType="end"/>
            </w:r>
          </w:p>
        </w:sdtContent>
      </w:sdt>
    </w:sdtContent>
  </w:sdt>
  <w:p w14:paraId="2540D88F" w14:textId="77777777" w:rsidR="00781614" w:rsidRDefault="00781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4FF3F" w14:textId="77777777" w:rsidR="006E52AC" w:rsidRDefault="006E52AC" w:rsidP="00EC5BD8">
      <w:pPr>
        <w:spacing w:after="0" w:line="240" w:lineRule="auto"/>
      </w:pPr>
      <w:r>
        <w:separator/>
      </w:r>
    </w:p>
  </w:footnote>
  <w:footnote w:type="continuationSeparator" w:id="0">
    <w:p w14:paraId="554849B9" w14:textId="77777777" w:rsidR="006E52AC" w:rsidRDefault="006E52AC" w:rsidP="00EC5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429FD" w14:textId="05C20DD6" w:rsidR="00781614" w:rsidRDefault="00781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6D3"/>
    <w:multiLevelType w:val="hybridMultilevel"/>
    <w:tmpl w:val="8C1CB48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nsid w:val="17584B03"/>
    <w:multiLevelType w:val="hybridMultilevel"/>
    <w:tmpl w:val="F9A82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C9D6DB8"/>
    <w:multiLevelType w:val="hybridMultilevel"/>
    <w:tmpl w:val="1312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5067C1"/>
    <w:multiLevelType w:val="hybridMultilevel"/>
    <w:tmpl w:val="486E268E"/>
    <w:lvl w:ilvl="0" w:tplc="47FE3AB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7B2D"/>
    <w:multiLevelType w:val="hybridMultilevel"/>
    <w:tmpl w:val="8D26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304071"/>
    <w:multiLevelType w:val="hybridMultilevel"/>
    <w:tmpl w:val="D646B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B307CC9"/>
    <w:multiLevelType w:val="hybridMultilevel"/>
    <w:tmpl w:val="D90E7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9BB72CD"/>
    <w:multiLevelType w:val="hybridMultilevel"/>
    <w:tmpl w:val="BC42BD6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3A8369A"/>
    <w:multiLevelType w:val="hybridMultilevel"/>
    <w:tmpl w:val="F12842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5FA86A42"/>
    <w:multiLevelType w:val="hybridMultilevel"/>
    <w:tmpl w:val="79A2CE76"/>
    <w:lvl w:ilvl="0" w:tplc="2648DE8C">
      <w:start w:val="1"/>
      <w:numFmt w:val="decimal"/>
      <w:lvlText w:val="%1."/>
      <w:lvlJc w:val="left"/>
      <w:pPr>
        <w:ind w:left="360" w:hanging="360"/>
      </w:pPr>
      <w:rPr>
        <w:b w:val="0"/>
        <w:i w:val="0"/>
      </w:rPr>
    </w:lvl>
    <w:lvl w:ilvl="1" w:tplc="08090001">
      <w:start w:val="1"/>
      <w:numFmt w:val="bullet"/>
      <w:lvlText w:val=""/>
      <w:lvlJc w:val="left"/>
      <w:pPr>
        <w:ind w:left="1080" w:hanging="360"/>
      </w:pPr>
      <w:rPr>
        <w:rFonts w:ascii="Symbol" w:hAnsi="Symbol" w:hint="default"/>
      </w:rPr>
    </w:lvl>
    <w:lvl w:ilvl="2" w:tplc="09569EBC">
      <w:start w:val="1"/>
      <w:numFmt w:val="lowerLetter"/>
      <w:lvlText w:val="(%3)"/>
      <w:lvlJc w:val="left"/>
      <w:pPr>
        <w:ind w:left="2190" w:hanging="57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71853CE"/>
    <w:multiLevelType w:val="hybridMultilevel"/>
    <w:tmpl w:val="85F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F6BA0"/>
    <w:multiLevelType w:val="hybridMultilevel"/>
    <w:tmpl w:val="4358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CD3F86"/>
    <w:multiLevelType w:val="hybridMultilevel"/>
    <w:tmpl w:val="D7FEE8AC"/>
    <w:lvl w:ilvl="0" w:tplc="38547A6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F32639"/>
    <w:multiLevelType w:val="hybridMultilevel"/>
    <w:tmpl w:val="CC7EB57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13"/>
  </w:num>
  <w:num w:numId="4">
    <w:abstractNumId w:val="6"/>
  </w:num>
  <w:num w:numId="5">
    <w:abstractNumId w:val="7"/>
  </w:num>
  <w:num w:numId="6">
    <w:abstractNumId w:val="9"/>
  </w:num>
  <w:num w:numId="7">
    <w:abstractNumId w:val="11"/>
  </w:num>
  <w:num w:numId="8">
    <w:abstractNumId w:val="2"/>
  </w:num>
  <w:num w:numId="9">
    <w:abstractNumId w:val="0"/>
  </w:num>
  <w:num w:numId="10">
    <w:abstractNumId w:val="1"/>
  </w:num>
  <w:num w:numId="11">
    <w:abstractNumId w:val="5"/>
  </w:num>
  <w:num w:numId="12">
    <w:abstractNumId w:val="8"/>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igail Hind">
    <w15:presenceInfo w15:providerId="None" w15:userId="Abigail Hi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04"/>
    <w:rsid w:val="000106A2"/>
    <w:rsid w:val="00022692"/>
    <w:rsid w:val="00032BFC"/>
    <w:rsid w:val="00033159"/>
    <w:rsid w:val="000371F4"/>
    <w:rsid w:val="00042CC3"/>
    <w:rsid w:val="00061CF7"/>
    <w:rsid w:val="00065D29"/>
    <w:rsid w:val="000A3081"/>
    <w:rsid w:val="000C0C57"/>
    <w:rsid w:val="00124071"/>
    <w:rsid w:val="00125DD0"/>
    <w:rsid w:val="001272D9"/>
    <w:rsid w:val="001411EB"/>
    <w:rsid w:val="00142FCF"/>
    <w:rsid w:val="00162546"/>
    <w:rsid w:val="00185EA5"/>
    <w:rsid w:val="00193207"/>
    <w:rsid w:val="001A0EDA"/>
    <w:rsid w:val="001C186A"/>
    <w:rsid w:val="002063F8"/>
    <w:rsid w:val="002210BE"/>
    <w:rsid w:val="0024239A"/>
    <w:rsid w:val="0026117A"/>
    <w:rsid w:val="00264F2E"/>
    <w:rsid w:val="002C156D"/>
    <w:rsid w:val="002F0DE0"/>
    <w:rsid w:val="002F4A0A"/>
    <w:rsid w:val="003051D1"/>
    <w:rsid w:val="00321EED"/>
    <w:rsid w:val="003221A4"/>
    <w:rsid w:val="00326B46"/>
    <w:rsid w:val="0036430B"/>
    <w:rsid w:val="00366D84"/>
    <w:rsid w:val="00370CD6"/>
    <w:rsid w:val="003770AB"/>
    <w:rsid w:val="00377169"/>
    <w:rsid w:val="003C52AA"/>
    <w:rsid w:val="003E4F90"/>
    <w:rsid w:val="004519B6"/>
    <w:rsid w:val="00455ABF"/>
    <w:rsid w:val="004923CB"/>
    <w:rsid w:val="004A6F25"/>
    <w:rsid w:val="004B5A74"/>
    <w:rsid w:val="004C56C4"/>
    <w:rsid w:val="004D1D1E"/>
    <w:rsid w:val="00511505"/>
    <w:rsid w:val="0051740C"/>
    <w:rsid w:val="00577D5F"/>
    <w:rsid w:val="00581963"/>
    <w:rsid w:val="0058511D"/>
    <w:rsid w:val="00591A77"/>
    <w:rsid w:val="005E02EC"/>
    <w:rsid w:val="0062484A"/>
    <w:rsid w:val="0062704D"/>
    <w:rsid w:val="00650A5C"/>
    <w:rsid w:val="00656A19"/>
    <w:rsid w:val="006B5B27"/>
    <w:rsid w:val="006B7CE3"/>
    <w:rsid w:val="006D5505"/>
    <w:rsid w:val="006E52AC"/>
    <w:rsid w:val="006E5DF1"/>
    <w:rsid w:val="006E78E4"/>
    <w:rsid w:val="00701E38"/>
    <w:rsid w:val="007508D3"/>
    <w:rsid w:val="00753D6B"/>
    <w:rsid w:val="00781614"/>
    <w:rsid w:val="007860FA"/>
    <w:rsid w:val="007D3C54"/>
    <w:rsid w:val="007E2167"/>
    <w:rsid w:val="00804E3E"/>
    <w:rsid w:val="0083294D"/>
    <w:rsid w:val="00843E90"/>
    <w:rsid w:val="00844F8A"/>
    <w:rsid w:val="00864851"/>
    <w:rsid w:val="008730A2"/>
    <w:rsid w:val="00893FF4"/>
    <w:rsid w:val="008975CB"/>
    <w:rsid w:val="008B381E"/>
    <w:rsid w:val="008D7C4E"/>
    <w:rsid w:val="008F7D04"/>
    <w:rsid w:val="009129A7"/>
    <w:rsid w:val="00923A29"/>
    <w:rsid w:val="00926906"/>
    <w:rsid w:val="00956695"/>
    <w:rsid w:val="00996906"/>
    <w:rsid w:val="009A5DCC"/>
    <w:rsid w:val="009B2EE8"/>
    <w:rsid w:val="009D4D45"/>
    <w:rsid w:val="009D4E90"/>
    <w:rsid w:val="009E528D"/>
    <w:rsid w:val="009E627B"/>
    <w:rsid w:val="009E6876"/>
    <w:rsid w:val="00A00025"/>
    <w:rsid w:val="00A318D8"/>
    <w:rsid w:val="00A366A4"/>
    <w:rsid w:val="00A62087"/>
    <w:rsid w:val="00A74814"/>
    <w:rsid w:val="00A92B27"/>
    <w:rsid w:val="00A92E3C"/>
    <w:rsid w:val="00AA5749"/>
    <w:rsid w:val="00AB02FB"/>
    <w:rsid w:val="00AC5479"/>
    <w:rsid w:val="00AE112A"/>
    <w:rsid w:val="00AF49D4"/>
    <w:rsid w:val="00B07771"/>
    <w:rsid w:val="00B2529A"/>
    <w:rsid w:val="00B31971"/>
    <w:rsid w:val="00B5327F"/>
    <w:rsid w:val="00B90F88"/>
    <w:rsid w:val="00B92A67"/>
    <w:rsid w:val="00BC67FB"/>
    <w:rsid w:val="00BD4348"/>
    <w:rsid w:val="00C00A80"/>
    <w:rsid w:val="00C07CA1"/>
    <w:rsid w:val="00C11126"/>
    <w:rsid w:val="00C3111A"/>
    <w:rsid w:val="00C41FF1"/>
    <w:rsid w:val="00C5124F"/>
    <w:rsid w:val="00C52CE1"/>
    <w:rsid w:val="00C60901"/>
    <w:rsid w:val="00C62B63"/>
    <w:rsid w:val="00C715BF"/>
    <w:rsid w:val="00CA3B34"/>
    <w:rsid w:val="00CA4CA1"/>
    <w:rsid w:val="00CC3369"/>
    <w:rsid w:val="00D21C1C"/>
    <w:rsid w:val="00D26B45"/>
    <w:rsid w:val="00D7453B"/>
    <w:rsid w:val="00D853FB"/>
    <w:rsid w:val="00D9762B"/>
    <w:rsid w:val="00DE12AC"/>
    <w:rsid w:val="00DE238A"/>
    <w:rsid w:val="00E2236A"/>
    <w:rsid w:val="00E30434"/>
    <w:rsid w:val="00E307DA"/>
    <w:rsid w:val="00E31125"/>
    <w:rsid w:val="00E473CC"/>
    <w:rsid w:val="00E54ED4"/>
    <w:rsid w:val="00E659F2"/>
    <w:rsid w:val="00E7756E"/>
    <w:rsid w:val="00EA17CF"/>
    <w:rsid w:val="00EC109A"/>
    <w:rsid w:val="00EC5BD8"/>
    <w:rsid w:val="00EC6C95"/>
    <w:rsid w:val="00EE78C9"/>
    <w:rsid w:val="00F12C9D"/>
    <w:rsid w:val="00F146C1"/>
    <w:rsid w:val="00F367FB"/>
    <w:rsid w:val="00F566A5"/>
    <w:rsid w:val="00F60E11"/>
    <w:rsid w:val="00F62117"/>
    <w:rsid w:val="00F708AA"/>
    <w:rsid w:val="00FA69EE"/>
    <w:rsid w:val="00FC363E"/>
    <w:rsid w:val="00FE014D"/>
    <w:rsid w:val="00FE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7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EE"/>
    <w:pPr>
      <w:jc w:val="both"/>
    </w:pPr>
  </w:style>
  <w:style w:type="paragraph" w:styleId="Heading1">
    <w:name w:val="heading 1"/>
    <w:basedOn w:val="Normal"/>
    <w:next w:val="Normal"/>
    <w:link w:val="Heading1Char"/>
    <w:uiPriority w:val="9"/>
    <w:qFormat/>
    <w:rsid w:val="00E2236A"/>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04"/>
    <w:pPr>
      <w:spacing w:after="200" w:line="276" w:lineRule="auto"/>
      <w:ind w:left="720"/>
      <w:contextualSpacing/>
    </w:pPr>
  </w:style>
  <w:style w:type="paragraph" w:customStyle="1" w:styleId="Default">
    <w:name w:val="Default"/>
    <w:rsid w:val="00E2236A"/>
    <w:pPr>
      <w:autoSpaceDE w:val="0"/>
      <w:autoSpaceDN w:val="0"/>
      <w:adjustRightInd w:val="0"/>
      <w:spacing w:after="0" w:line="240" w:lineRule="auto"/>
      <w:jc w:val="both"/>
    </w:pPr>
    <w:rPr>
      <w:rFonts w:ascii="Arial" w:hAnsi="Arial" w:cs="Arial"/>
      <w:color w:val="000000"/>
      <w:sz w:val="24"/>
      <w:szCs w:val="24"/>
    </w:rPr>
  </w:style>
  <w:style w:type="character" w:styleId="Hyperlink">
    <w:name w:val="Hyperlink"/>
    <w:basedOn w:val="DefaultParagraphFont"/>
    <w:uiPriority w:val="99"/>
    <w:unhideWhenUsed/>
    <w:rsid w:val="008F7D04"/>
    <w:rPr>
      <w:color w:val="0563C1" w:themeColor="hyperlink"/>
      <w:u w:val="single"/>
    </w:rPr>
  </w:style>
  <w:style w:type="paragraph" w:styleId="Header">
    <w:name w:val="header"/>
    <w:basedOn w:val="Normal"/>
    <w:link w:val="HeaderChar"/>
    <w:uiPriority w:val="99"/>
    <w:unhideWhenUsed/>
    <w:rsid w:val="00EC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BD8"/>
  </w:style>
  <w:style w:type="paragraph" w:styleId="Footer">
    <w:name w:val="footer"/>
    <w:basedOn w:val="Normal"/>
    <w:link w:val="FooterChar"/>
    <w:uiPriority w:val="99"/>
    <w:unhideWhenUsed/>
    <w:rsid w:val="00EC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BD8"/>
  </w:style>
  <w:style w:type="table" w:styleId="TableGrid">
    <w:name w:val="Table Grid"/>
    <w:basedOn w:val="TableNormal"/>
    <w:uiPriority w:val="59"/>
    <w:rsid w:val="00EC5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5C"/>
    <w:rPr>
      <w:rFonts w:ascii="Segoe UI" w:hAnsi="Segoe UI" w:cs="Segoe UI"/>
      <w:sz w:val="18"/>
      <w:szCs w:val="18"/>
    </w:rPr>
  </w:style>
  <w:style w:type="character" w:styleId="CommentReference">
    <w:name w:val="annotation reference"/>
    <w:basedOn w:val="DefaultParagraphFont"/>
    <w:uiPriority w:val="99"/>
    <w:semiHidden/>
    <w:unhideWhenUsed/>
    <w:rsid w:val="00162546"/>
    <w:rPr>
      <w:sz w:val="16"/>
      <w:szCs w:val="16"/>
    </w:rPr>
  </w:style>
  <w:style w:type="paragraph" w:styleId="CommentText">
    <w:name w:val="annotation text"/>
    <w:basedOn w:val="Normal"/>
    <w:link w:val="CommentTextChar"/>
    <w:uiPriority w:val="99"/>
    <w:semiHidden/>
    <w:unhideWhenUsed/>
    <w:rsid w:val="00162546"/>
    <w:pPr>
      <w:spacing w:line="240" w:lineRule="auto"/>
    </w:pPr>
    <w:rPr>
      <w:sz w:val="20"/>
      <w:szCs w:val="20"/>
    </w:rPr>
  </w:style>
  <w:style w:type="character" w:customStyle="1" w:styleId="CommentTextChar">
    <w:name w:val="Comment Text Char"/>
    <w:basedOn w:val="DefaultParagraphFont"/>
    <w:link w:val="CommentText"/>
    <w:uiPriority w:val="99"/>
    <w:semiHidden/>
    <w:rsid w:val="00162546"/>
    <w:rPr>
      <w:sz w:val="20"/>
      <w:szCs w:val="20"/>
    </w:rPr>
  </w:style>
  <w:style w:type="paragraph" w:styleId="CommentSubject">
    <w:name w:val="annotation subject"/>
    <w:basedOn w:val="CommentText"/>
    <w:next w:val="CommentText"/>
    <w:link w:val="CommentSubjectChar"/>
    <w:uiPriority w:val="99"/>
    <w:semiHidden/>
    <w:unhideWhenUsed/>
    <w:rsid w:val="00162546"/>
    <w:rPr>
      <w:b/>
      <w:bCs/>
    </w:rPr>
  </w:style>
  <w:style w:type="character" w:customStyle="1" w:styleId="CommentSubjectChar">
    <w:name w:val="Comment Subject Char"/>
    <w:basedOn w:val="CommentTextChar"/>
    <w:link w:val="CommentSubject"/>
    <w:uiPriority w:val="99"/>
    <w:semiHidden/>
    <w:rsid w:val="00162546"/>
    <w:rPr>
      <w:b/>
      <w:bCs/>
      <w:sz w:val="20"/>
      <w:szCs w:val="20"/>
    </w:rPr>
  </w:style>
  <w:style w:type="character" w:customStyle="1" w:styleId="Heading1Char">
    <w:name w:val="Heading 1 Char"/>
    <w:basedOn w:val="DefaultParagraphFont"/>
    <w:link w:val="Heading1"/>
    <w:uiPriority w:val="9"/>
    <w:rsid w:val="00E2236A"/>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2063F8"/>
    <w:pPr>
      <w:outlineLvl w:val="9"/>
    </w:pPr>
    <w:rPr>
      <w:lang w:val="en-US"/>
    </w:rPr>
  </w:style>
  <w:style w:type="paragraph" w:customStyle="1" w:styleId="Style1">
    <w:name w:val="Style1"/>
    <w:basedOn w:val="Normal"/>
    <w:qFormat/>
    <w:rsid w:val="002063F8"/>
    <w:pPr>
      <w:spacing w:after="0" w:line="240" w:lineRule="auto"/>
    </w:pPr>
    <w:rPr>
      <w:u w:val="single"/>
    </w:rPr>
  </w:style>
  <w:style w:type="paragraph" w:styleId="Title">
    <w:name w:val="Title"/>
    <w:basedOn w:val="Normal"/>
    <w:next w:val="Normal"/>
    <w:link w:val="TitleChar"/>
    <w:uiPriority w:val="10"/>
    <w:qFormat/>
    <w:rsid w:val="00061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F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061CF7"/>
    <w:pPr>
      <w:spacing w:before="120" w:after="120"/>
    </w:pPr>
    <w:rPr>
      <w:b/>
      <w:bCs/>
      <w:caps/>
      <w:sz w:val="20"/>
      <w:szCs w:val="20"/>
    </w:rPr>
  </w:style>
  <w:style w:type="paragraph" w:styleId="TOC2">
    <w:name w:val="toc 2"/>
    <w:basedOn w:val="Normal"/>
    <w:next w:val="Normal"/>
    <w:autoRedefine/>
    <w:uiPriority w:val="39"/>
    <w:unhideWhenUsed/>
    <w:rsid w:val="00061CF7"/>
    <w:pPr>
      <w:spacing w:after="0"/>
      <w:ind w:left="220"/>
    </w:pPr>
    <w:rPr>
      <w:smallCaps/>
      <w:sz w:val="20"/>
      <w:szCs w:val="20"/>
    </w:rPr>
  </w:style>
  <w:style w:type="paragraph" w:styleId="TOC3">
    <w:name w:val="toc 3"/>
    <w:basedOn w:val="Normal"/>
    <w:next w:val="Normal"/>
    <w:autoRedefine/>
    <w:uiPriority w:val="39"/>
    <w:unhideWhenUsed/>
    <w:rsid w:val="00061CF7"/>
    <w:pPr>
      <w:spacing w:after="0"/>
      <w:ind w:left="440"/>
    </w:pPr>
    <w:rPr>
      <w:i/>
      <w:iCs/>
      <w:sz w:val="20"/>
      <w:szCs w:val="20"/>
    </w:rPr>
  </w:style>
  <w:style w:type="paragraph" w:styleId="TOC4">
    <w:name w:val="toc 4"/>
    <w:basedOn w:val="Normal"/>
    <w:next w:val="Normal"/>
    <w:autoRedefine/>
    <w:uiPriority w:val="39"/>
    <w:unhideWhenUsed/>
    <w:rsid w:val="00061CF7"/>
    <w:pPr>
      <w:spacing w:after="0"/>
      <w:ind w:left="660"/>
    </w:pPr>
    <w:rPr>
      <w:sz w:val="18"/>
      <w:szCs w:val="18"/>
    </w:rPr>
  </w:style>
  <w:style w:type="paragraph" w:styleId="TOC5">
    <w:name w:val="toc 5"/>
    <w:basedOn w:val="Normal"/>
    <w:next w:val="Normal"/>
    <w:autoRedefine/>
    <w:uiPriority w:val="39"/>
    <w:unhideWhenUsed/>
    <w:rsid w:val="00061CF7"/>
    <w:pPr>
      <w:spacing w:after="0"/>
      <w:ind w:left="880"/>
    </w:pPr>
    <w:rPr>
      <w:sz w:val="18"/>
      <w:szCs w:val="18"/>
    </w:rPr>
  </w:style>
  <w:style w:type="paragraph" w:styleId="TOC6">
    <w:name w:val="toc 6"/>
    <w:basedOn w:val="Normal"/>
    <w:next w:val="Normal"/>
    <w:autoRedefine/>
    <w:uiPriority w:val="39"/>
    <w:unhideWhenUsed/>
    <w:rsid w:val="00061CF7"/>
    <w:pPr>
      <w:spacing w:after="0"/>
      <w:ind w:left="1100"/>
    </w:pPr>
    <w:rPr>
      <w:sz w:val="18"/>
      <w:szCs w:val="18"/>
    </w:rPr>
  </w:style>
  <w:style w:type="paragraph" w:styleId="TOC7">
    <w:name w:val="toc 7"/>
    <w:basedOn w:val="Normal"/>
    <w:next w:val="Normal"/>
    <w:autoRedefine/>
    <w:uiPriority w:val="39"/>
    <w:unhideWhenUsed/>
    <w:rsid w:val="00061CF7"/>
    <w:pPr>
      <w:spacing w:after="0"/>
      <w:ind w:left="1320"/>
    </w:pPr>
    <w:rPr>
      <w:sz w:val="18"/>
      <w:szCs w:val="18"/>
    </w:rPr>
  </w:style>
  <w:style w:type="paragraph" w:styleId="TOC8">
    <w:name w:val="toc 8"/>
    <w:basedOn w:val="Normal"/>
    <w:next w:val="Normal"/>
    <w:autoRedefine/>
    <w:uiPriority w:val="39"/>
    <w:unhideWhenUsed/>
    <w:rsid w:val="00061CF7"/>
    <w:pPr>
      <w:spacing w:after="0"/>
      <w:ind w:left="1540"/>
    </w:pPr>
    <w:rPr>
      <w:sz w:val="18"/>
      <w:szCs w:val="18"/>
    </w:rPr>
  </w:style>
  <w:style w:type="paragraph" w:styleId="TOC9">
    <w:name w:val="toc 9"/>
    <w:basedOn w:val="Normal"/>
    <w:next w:val="Normal"/>
    <w:autoRedefine/>
    <w:uiPriority w:val="39"/>
    <w:unhideWhenUsed/>
    <w:rsid w:val="00061CF7"/>
    <w:pPr>
      <w:spacing w:after="0"/>
      <w:ind w:left="1760"/>
    </w:pPr>
    <w:rPr>
      <w:sz w:val="18"/>
      <w:szCs w:val="18"/>
    </w:rPr>
  </w:style>
  <w:style w:type="paragraph" w:styleId="Revision">
    <w:name w:val="Revision"/>
    <w:hidden/>
    <w:uiPriority w:val="99"/>
    <w:semiHidden/>
    <w:rsid w:val="00EE78C9"/>
    <w:pPr>
      <w:spacing w:after="0" w:line="240" w:lineRule="auto"/>
    </w:pPr>
  </w:style>
  <w:style w:type="paragraph" w:customStyle="1" w:styleId="IntroHead1">
    <w:name w:val="IntroHead1"/>
    <w:link w:val="IntroHead1Char"/>
    <w:qFormat/>
    <w:rsid w:val="002F0DE0"/>
    <w:pPr>
      <w:spacing w:after="0" w:line="240" w:lineRule="auto"/>
    </w:pPr>
    <w:rPr>
      <w:rFonts w:ascii="Arial MT" w:eastAsia="Times New Roman" w:hAnsi="Arial MT" w:cs="Arial"/>
      <w:b/>
      <w:bCs/>
      <w:color w:val="834D64"/>
      <w:kern w:val="32"/>
      <w:sz w:val="76"/>
      <w:szCs w:val="32"/>
      <w:lang w:eastAsia="en-GB"/>
    </w:rPr>
  </w:style>
  <w:style w:type="character" w:customStyle="1" w:styleId="IntroHead1Char">
    <w:name w:val="IntroHead1 Char"/>
    <w:basedOn w:val="Heading1Char"/>
    <w:link w:val="IntroHead1"/>
    <w:rsid w:val="002F0DE0"/>
    <w:rPr>
      <w:rFonts w:ascii="Arial MT" w:eastAsia="Times New Roman" w:hAnsi="Arial MT" w:cs="Arial"/>
      <w:b w:val="0"/>
      <w:bCs/>
      <w:color w:val="834D64"/>
      <w:kern w:val="32"/>
      <w:sz w:val="76"/>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EE"/>
    <w:pPr>
      <w:jc w:val="both"/>
    </w:pPr>
  </w:style>
  <w:style w:type="paragraph" w:styleId="Heading1">
    <w:name w:val="heading 1"/>
    <w:basedOn w:val="Normal"/>
    <w:next w:val="Normal"/>
    <w:link w:val="Heading1Char"/>
    <w:uiPriority w:val="9"/>
    <w:qFormat/>
    <w:rsid w:val="00E2236A"/>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04"/>
    <w:pPr>
      <w:spacing w:after="200" w:line="276" w:lineRule="auto"/>
      <w:ind w:left="720"/>
      <w:contextualSpacing/>
    </w:pPr>
  </w:style>
  <w:style w:type="paragraph" w:customStyle="1" w:styleId="Default">
    <w:name w:val="Default"/>
    <w:rsid w:val="00E2236A"/>
    <w:pPr>
      <w:autoSpaceDE w:val="0"/>
      <w:autoSpaceDN w:val="0"/>
      <w:adjustRightInd w:val="0"/>
      <w:spacing w:after="0" w:line="240" w:lineRule="auto"/>
      <w:jc w:val="both"/>
    </w:pPr>
    <w:rPr>
      <w:rFonts w:ascii="Arial" w:hAnsi="Arial" w:cs="Arial"/>
      <w:color w:val="000000"/>
      <w:sz w:val="24"/>
      <w:szCs w:val="24"/>
    </w:rPr>
  </w:style>
  <w:style w:type="character" w:styleId="Hyperlink">
    <w:name w:val="Hyperlink"/>
    <w:basedOn w:val="DefaultParagraphFont"/>
    <w:uiPriority w:val="99"/>
    <w:unhideWhenUsed/>
    <w:rsid w:val="008F7D04"/>
    <w:rPr>
      <w:color w:val="0563C1" w:themeColor="hyperlink"/>
      <w:u w:val="single"/>
    </w:rPr>
  </w:style>
  <w:style w:type="paragraph" w:styleId="Header">
    <w:name w:val="header"/>
    <w:basedOn w:val="Normal"/>
    <w:link w:val="HeaderChar"/>
    <w:uiPriority w:val="99"/>
    <w:unhideWhenUsed/>
    <w:rsid w:val="00EC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BD8"/>
  </w:style>
  <w:style w:type="paragraph" w:styleId="Footer">
    <w:name w:val="footer"/>
    <w:basedOn w:val="Normal"/>
    <w:link w:val="FooterChar"/>
    <w:uiPriority w:val="99"/>
    <w:unhideWhenUsed/>
    <w:rsid w:val="00EC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BD8"/>
  </w:style>
  <w:style w:type="table" w:styleId="TableGrid">
    <w:name w:val="Table Grid"/>
    <w:basedOn w:val="TableNormal"/>
    <w:uiPriority w:val="59"/>
    <w:rsid w:val="00EC5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5C"/>
    <w:rPr>
      <w:rFonts w:ascii="Segoe UI" w:hAnsi="Segoe UI" w:cs="Segoe UI"/>
      <w:sz w:val="18"/>
      <w:szCs w:val="18"/>
    </w:rPr>
  </w:style>
  <w:style w:type="character" w:styleId="CommentReference">
    <w:name w:val="annotation reference"/>
    <w:basedOn w:val="DefaultParagraphFont"/>
    <w:uiPriority w:val="99"/>
    <w:semiHidden/>
    <w:unhideWhenUsed/>
    <w:rsid w:val="00162546"/>
    <w:rPr>
      <w:sz w:val="16"/>
      <w:szCs w:val="16"/>
    </w:rPr>
  </w:style>
  <w:style w:type="paragraph" w:styleId="CommentText">
    <w:name w:val="annotation text"/>
    <w:basedOn w:val="Normal"/>
    <w:link w:val="CommentTextChar"/>
    <w:uiPriority w:val="99"/>
    <w:semiHidden/>
    <w:unhideWhenUsed/>
    <w:rsid w:val="00162546"/>
    <w:pPr>
      <w:spacing w:line="240" w:lineRule="auto"/>
    </w:pPr>
    <w:rPr>
      <w:sz w:val="20"/>
      <w:szCs w:val="20"/>
    </w:rPr>
  </w:style>
  <w:style w:type="character" w:customStyle="1" w:styleId="CommentTextChar">
    <w:name w:val="Comment Text Char"/>
    <w:basedOn w:val="DefaultParagraphFont"/>
    <w:link w:val="CommentText"/>
    <w:uiPriority w:val="99"/>
    <w:semiHidden/>
    <w:rsid w:val="00162546"/>
    <w:rPr>
      <w:sz w:val="20"/>
      <w:szCs w:val="20"/>
    </w:rPr>
  </w:style>
  <w:style w:type="paragraph" w:styleId="CommentSubject">
    <w:name w:val="annotation subject"/>
    <w:basedOn w:val="CommentText"/>
    <w:next w:val="CommentText"/>
    <w:link w:val="CommentSubjectChar"/>
    <w:uiPriority w:val="99"/>
    <w:semiHidden/>
    <w:unhideWhenUsed/>
    <w:rsid w:val="00162546"/>
    <w:rPr>
      <w:b/>
      <w:bCs/>
    </w:rPr>
  </w:style>
  <w:style w:type="character" w:customStyle="1" w:styleId="CommentSubjectChar">
    <w:name w:val="Comment Subject Char"/>
    <w:basedOn w:val="CommentTextChar"/>
    <w:link w:val="CommentSubject"/>
    <w:uiPriority w:val="99"/>
    <w:semiHidden/>
    <w:rsid w:val="00162546"/>
    <w:rPr>
      <w:b/>
      <w:bCs/>
      <w:sz w:val="20"/>
      <w:szCs w:val="20"/>
    </w:rPr>
  </w:style>
  <w:style w:type="character" w:customStyle="1" w:styleId="Heading1Char">
    <w:name w:val="Heading 1 Char"/>
    <w:basedOn w:val="DefaultParagraphFont"/>
    <w:link w:val="Heading1"/>
    <w:uiPriority w:val="9"/>
    <w:rsid w:val="00E2236A"/>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2063F8"/>
    <w:pPr>
      <w:outlineLvl w:val="9"/>
    </w:pPr>
    <w:rPr>
      <w:lang w:val="en-US"/>
    </w:rPr>
  </w:style>
  <w:style w:type="paragraph" w:customStyle="1" w:styleId="Style1">
    <w:name w:val="Style1"/>
    <w:basedOn w:val="Normal"/>
    <w:qFormat/>
    <w:rsid w:val="002063F8"/>
    <w:pPr>
      <w:spacing w:after="0" w:line="240" w:lineRule="auto"/>
    </w:pPr>
    <w:rPr>
      <w:u w:val="single"/>
    </w:rPr>
  </w:style>
  <w:style w:type="paragraph" w:styleId="Title">
    <w:name w:val="Title"/>
    <w:basedOn w:val="Normal"/>
    <w:next w:val="Normal"/>
    <w:link w:val="TitleChar"/>
    <w:uiPriority w:val="10"/>
    <w:qFormat/>
    <w:rsid w:val="00061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CF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061CF7"/>
    <w:pPr>
      <w:spacing w:before="120" w:after="120"/>
    </w:pPr>
    <w:rPr>
      <w:b/>
      <w:bCs/>
      <w:caps/>
      <w:sz w:val="20"/>
      <w:szCs w:val="20"/>
    </w:rPr>
  </w:style>
  <w:style w:type="paragraph" w:styleId="TOC2">
    <w:name w:val="toc 2"/>
    <w:basedOn w:val="Normal"/>
    <w:next w:val="Normal"/>
    <w:autoRedefine/>
    <w:uiPriority w:val="39"/>
    <w:unhideWhenUsed/>
    <w:rsid w:val="00061CF7"/>
    <w:pPr>
      <w:spacing w:after="0"/>
      <w:ind w:left="220"/>
    </w:pPr>
    <w:rPr>
      <w:smallCaps/>
      <w:sz w:val="20"/>
      <w:szCs w:val="20"/>
    </w:rPr>
  </w:style>
  <w:style w:type="paragraph" w:styleId="TOC3">
    <w:name w:val="toc 3"/>
    <w:basedOn w:val="Normal"/>
    <w:next w:val="Normal"/>
    <w:autoRedefine/>
    <w:uiPriority w:val="39"/>
    <w:unhideWhenUsed/>
    <w:rsid w:val="00061CF7"/>
    <w:pPr>
      <w:spacing w:after="0"/>
      <w:ind w:left="440"/>
    </w:pPr>
    <w:rPr>
      <w:i/>
      <w:iCs/>
      <w:sz w:val="20"/>
      <w:szCs w:val="20"/>
    </w:rPr>
  </w:style>
  <w:style w:type="paragraph" w:styleId="TOC4">
    <w:name w:val="toc 4"/>
    <w:basedOn w:val="Normal"/>
    <w:next w:val="Normal"/>
    <w:autoRedefine/>
    <w:uiPriority w:val="39"/>
    <w:unhideWhenUsed/>
    <w:rsid w:val="00061CF7"/>
    <w:pPr>
      <w:spacing w:after="0"/>
      <w:ind w:left="660"/>
    </w:pPr>
    <w:rPr>
      <w:sz w:val="18"/>
      <w:szCs w:val="18"/>
    </w:rPr>
  </w:style>
  <w:style w:type="paragraph" w:styleId="TOC5">
    <w:name w:val="toc 5"/>
    <w:basedOn w:val="Normal"/>
    <w:next w:val="Normal"/>
    <w:autoRedefine/>
    <w:uiPriority w:val="39"/>
    <w:unhideWhenUsed/>
    <w:rsid w:val="00061CF7"/>
    <w:pPr>
      <w:spacing w:after="0"/>
      <w:ind w:left="880"/>
    </w:pPr>
    <w:rPr>
      <w:sz w:val="18"/>
      <w:szCs w:val="18"/>
    </w:rPr>
  </w:style>
  <w:style w:type="paragraph" w:styleId="TOC6">
    <w:name w:val="toc 6"/>
    <w:basedOn w:val="Normal"/>
    <w:next w:val="Normal"/>
    <w:autoRedefine/>
    <w:uiPriority w:val="39"/>
    <w:unhideWhenUsed/>
    <w:rsid w:val="00061CF7"/>
    <w:pPr>
      <w:spacing w:after="0"/>
      <w:ind w:left="1100"/>
    </w:pPr>
    <w:rPr>
      <w:sz w:val="18"/>
      <w:szCs w:val="18"/>
    </w:rPr>
  </w:style>
  <w:style w:type="paragraph" w:styleId="TOC7">
    <w:name w:val="toc 7"/>
    <w:basedOn w:val="Normal"/>
    <w:next w:val="Normal"/>
    <w:autoRedefine/>
    <w:uiPriority w:val="39"/>
    <w:unhideWhenUsed/>
    <w:rsid w:val="00061CF7"/>
    <w:pPr>
      <w:spacing w:after="0"/>
      <w:ind w:left="1320"/>
    </w:pPr>
    <w:rPr>
      <w:sz w:val="18"/>
      <w:szCs w:val="18"/>
    </w:rPr>
  </w:style>
  <w:style w:type="paragraph" w:styleId="TOC8">
    <w:name w:val="toc 8"/>
    <w:basedOn w:val="Normal"/>
    <w:next w:val="Normal"/>
    <w:autoRedefine/>
    <w:uiPriority w:val="39"/>
    <w:unhideWhenUsed/>
    <w:rsid w:val="00061CF7"/>
    <w:pPr>
      <w:spacing w:after="0"/>
      <w:ind w:left="1540"/>
    </w:pPr>
    <w:rPr>
      <w:sz w:val="18"/>
      <w:szCs w:val="18"/>
    </w:rPr>
  </w:style>
  <w:style w:type="paragraph" w:styleId="TOC9">
    <w:name w:val="toc 9"/>
    <w:basedOn w:val="Normal"/>
    <w:next w:val="Normal"/>
    <w:autoRedefine/>
    <w:uiPriority w:val="39"/>
    <w:unhideWhenUsed/>
    <w:rsid w:val="00061CF7"/>
    <w:pPr>
      <w:spacing w:after="0"/>
      <w:ind w:left="1760"/>
    </w:pPr>
    <w:rPr>
      <w:sz w:val="18"/>
      <w:szCs w:val="18"/>
    </w:rPr>
  </w:style>
  <w:style w:type="paragraph" w:styleId="Revision">
    <w:name w:val="Revision"/>
    <w:hidden/>
    <w:uiPriority w:val="99"/>
    <w:semiHidden/>
    <w:rsid w:val="00EE78C9"/>
    <w:pPr>
      <w:spacing w:after="0" w:line="240" w:lineRule="auto"/>
    </w:pPr>
  </w:style>
  <w:style w:type="paragraph" w:customStyle="1" w:styleId="IntroHead1">
    <w:name w:val="IntroHead1"/>
    <w:link w:val="IntroHead1Char"/>
    <w:qFormat/>
    <w:rsid w:val="002F0DE0"/>
    <w:pPr>
      <w:spacing w:after="0" w:line="240" w:lineRule="auto"/>
    </w:pPr>
    <w:rPr>
      <w:rFonts w:ascii="Arial MT" w:eastAsia="Times New Roman" w:hAnsi="Arial MT" w:cs="Arial"/>
      <w:b/>
      <w:bCs/>
      <w:color w:val="834D64"/>
      <w:kern w:val="32"/>
      <w:sz w:val="76"/>
      <w:szCs w:val="32"/>
      <w:lang w:eastAsia="en-GB"/>
    </w:rPr>
  </w:style>
  <w:style w:type="character" w:customStyle="1" w:styleId="IntroHead1Char">
    <w:name w:val="IntroHead1 Char"/>
    <w:basedOn w:val="Heading1Char"/>
    <w:link w:val="IntroHead1"/>
    <w:rsid w:val="002F0DE0"/>
    <w:rPr>
      <w:rFonts w:ascii="Arial MT" w:eastAsia="Times New Roman" w:hAnsi="Arial MT" w:cs="Arial"/>
      <w:b w:val="0"/>
      <w:bCs/>
      <w:color w:val="834D64"/>
      <w:kern w:val="32"/>
      <w:sz w:val="76"/>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donaldson@harper-adams.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donaldson@harper-adams.ac.uk" TargetMode="External"/><Relationship Id="rId7" Type="http://schemas.openxmlformats.org/officeDocument/2006/relationships/footnotes" Target="footnotes.xml"/><Relationship Id="rId12" Type="http://schemas.openxmlformats.org/officeDocument/2006/relationships/hyperlink" Target="file:///C:\Users\00004930\AppData\Local\Microsoft\Windows\INetCache\Content.Outlook\1AL9R0GR\www.harper.ac.uk\keyinfo" TargetMode="External"/><Relationship Id="rId17" Type="http://schemas.openxmlformats.org/officeDocument/2006/relationships/hyperlink" Target="http://www.oiahe.org.u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studentcomplaints@harper-adams.ac.uk" TargetMode="External"/><Relationship Id="rId20" Type="http://schemas.openxmlformats.org/officeDocument/2006/relationships/hyperlink" Target="mailto:secretarygeneral@amtr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vsdx"/><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studentcomplaints@harper-adams.ac.uk"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cretarygeneral@amtr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EF77-DFBC-42C1-8159-624E402E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3875</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25917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Brooks</dc:creator>
  <cp:lastModifiedBy>Stephen Dawson</cp:lastModifiedBy>
  <cp:revision>4</cp:revision>
  <dcterms:created xsi:type="dcterms:W3CDTF">2019-10-09T13:57:00Z</dcterms:created>
  <dcterms:modified xsi:type="dcterms:W3CDTF">2019-10-09T14:06:00Z</dcterms:modified>
</cp:coreProperties>
</file>